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2318" w14:textId="77777777" w:rsidR="00546BAD" w:rsidRDefault="00964068" w:rsidP="00796C45">
      <w:pPr>
        <w:spacing w:after="0"/>
      </w:pPr>
      <w:r>
        <w:t xml:space="preserve"> </w:t>
      </w:r>
    </w:p>
    <w:p w14:paraId="64C32762" w14:textId="77777777" w:rsidR="00546BAD" w:rsidRPr="00546BAD" w:rsidRDefault="00546BAD" w:rsidP="002B0911">
      <w:pPr>
        <w:ind w:left="-1418" w:right="-22"/>
      </w:pPr>
    </w:p>
    <w:p w14:paraId="2DCAC85F" w14:textId="77777777" w:rsidR="00546BAD" w:rsidRPr="00546BAD" w:rsidRDefault="00546BAD" w:rsidP="00546BAD"/>
    <w:p w14:paraId="5775C252" w14:textId="77777777" w:rsidR="00546BAD" w:rsidRPr="00546BAD" w:rsidRDefault="00546BAD" w:rsidP="00546BAD"/>
    <w:p w14:paraId="5BACAD83" w14:textId="77777777" w:rsidR="00546BAD" w:rsidRPr="00546BAD" w:rsidRDefault="00546BAD" w:rsidP="00546BAD"/>
    <w:p w14:paraId="0A895FBF" w14:textId="77777777" w:rsidR="00546BAD" w:rsidRPr="00546BAD" w:rsidRDefault="00546BAD" w:rsidP="00546BAD"/>
    <w:p w14:paraId="532ADE1B" w14:textId="77777777" w:rsidR="00546BAD" w:rsidRPr="00546BAD" w:rsidRDefault="00546BAD" w:rsidP="00546BAD"/>
    <w:p w14:paraId="2E9782BC" w14:textId="77777777" w:rsidR="00546BAD" w:rsidRPr="00546BAD" w:rsidRDefault="009E187A" w:rsidP="00546BA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AE8CA0" wp14:editId="7655A95E">
                <wp:simplePos x="0" y="0"/>
                <wp:positionH relativeFrom="column">
                  <wp:posOffset>-405765</wp:posOffset>
                </wp:positionH>
                <wp:positionV relativeFrom="paragraph">
                  <wp:posOffset>241935</wp:posOffset>
                </wp:positionV>
                <wp:extent cx="6515100" cy="227266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27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72253" w14:textId="77777777" w:rsidR="00877E52" w:rsidRPr="0065040C" w:rsidRDefault="00877E52" w:rsidP="006D643B">
                            <w:pPr>
                              <w:jc w:val="center"/>
                              <w:outlineLvl w:val="1"/>
                              <w:rPr>
                                <w:b/>
                                <w:color w:val="006B9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6B90"/>
                                <w:sz w:val="72"/>
                                <w:szCs w:val="72"/>
                              </w:rPr>
                              <w:t>Regulatory Capital Disclosure</w:t>
                            </w:r>
                          </w:p>
                          <w:p w14:paraId="452C7995" w14:textId="6C7214A3" w:rsidR="00877E52" w:rsidRPr="0065040C" w:rsidRDefault="00C802B2" w:rsidP="006D643B">
                            <w:pPr>
                              <w:jc w:val="center"/>
                              <w:rPr>
                                <w:color w:val="7BAFD4"/>
                              </w:rPr>
                            </w:pPr>
                            <w:r>
                              <w:rPr>
                                <w:color w:val="7BAFD4"/>
                                <w:sz w:val="40"/>
                                <w:szCs w:val="40"/>
                              </w:rPr>
                              <w:t>Dec</w:t>
                            </w:r>
                            <w:r w:rsidR="00D928AD">
                              <w:rPr>
                                <w:color w:val="7BAFD4"/>
                                <w:sz w:val="40"/>
                                <w:szCs w:val="40"/>
                              </w:rPr>
                              <w:t>ember</w:t>
                            </w:r>
                            <w:r w:rsidR="00877E52">
                              <w:rPr>
                                <w:color w:val="7BAFD4"/>
                                <w:sz w:val="40"/>
                                <w:szCs w:val="40"/>
                              </w:rPr>
                              <w:t xml:space="preserve"> 3</w:t>
                            </w:r>
                            <w:r>
                              <w:rPr>
                                <w:color w:val="7BAFD4"/>
                                <w:sz w:val="40"/>
                                <w:szCs w:val="40"/>
                              </w:rPr>
                              <w:t>1</w:t>
                            </w:r>
                            <w:r w:rsidR="00877E52">
                              <w:rPr>
                                <w:color w:val="7BAFD4"/>
                                <w:sz w:val="40"/>
                                <w:szCs w:val="40"/>
                              </w:rPr>
                              <w:t>, 202</w:t>
                            </w:r>
                            <w:r w:rsidR="00477137">
                              <w:rPr>
                                <w:color w:val="7BAFD4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56412225" w14:textId="77777777" w:rsidR="00877E52" w:rsidRPr="0065040C" w:rsidRDefault="00877E52" w:rsidP="006631B9">
                            <w:pPr>
                              <w:ind w:left="567"/>
                              <w:jc w:val="center"/>
                              <w:rPr>
                                <w:color w:val="006B9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E8C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1.95pt;margin-top:19.05pt;width:513pt;height:17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" filled="f" stroked="f">
                <v:textbox>
                  <w:txbxContent>
                    <w:p w14:paraId="13372253" w14:textId="77777777" w:rsidR="00877E52" w:rsidRPr="0065040C" w:rsidRDefault="00877E52" w:rsidP="006D643B">
                      <w:pPr>
                        <w:jc w:val="center"/>
                        <w:outlineLvl w:val="1"/>
                        <w:rPr>
                          <w:b/>
                          <w:color w:val="006B9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006B90"/>
                          <w:sz w:val="72"/>
                          <w:szCs w:val="72"/>
                        </w:rPr>
                        <w:t>Regulatory Capital Disclosure</w:t>
                      </w:r>
                    </w:p>
                    <w:p w14:paraId="452C7995" w14:textId="6C7214A3" w:rsidR="00877E52" w:rsidRPr="0065040C" w:rsidRDefault="00C802B2" w:rsidP="006D643B">
                      <w:pPr>
                        <w:jc w:val="center"/>
                        <w:rPr>
                          <w:color w:val="7BAFD4"/>
                        </w:rPr>
                      </w:pPr>
                      <w:r>
                        <w:rPr>
                          <w:color w:val="7BAFD4"/>
                          <w:sz w:val="40"/>
                          <w:szCs w:val="40"/>
                        </w:rPr>
                        <w:t>Dec</w:t>
                      </w:r>
                      <w:r w:rsidR="00D928AD">
                        <w:rPr>
                          <w:color w:val="7BAFD4"/>
                          <w:sz w:val="40"/>
                          <w:szCs w:val="40"/>
                        </w:rPr>
                        <w:t>ember</w:t>
                      </w:r>
                      <w:r w:rsidR="00877E52">
                        <w:rPr>
                          <w:color w:val="7BAFD4"/>
                          <w:sz w:val="40"/>
                          <w:szCs w:val="40"/>
                        </w:rPr>
                        <w:t xml:space="preserve"> 3</w:t>
                      </w:r>
                      <w:r>
                        <w:rPr>
                          <w:color w:val="7BAFD4"/>
                          <w:sz w:val="40"/>
                          <w:szCs w:val="40"/>
                        </w:rPr>
                        <w:t>1</w:t>
                      </w:r>
                      <w:r w:rsidR="00877E52">
                        <w:rPr>
                          <w:color w:val="7BAFD4"/>
                          <w:sz w:val="40"/>
                          <w:szCs w:val="40"/>
                        </w:rPr>
                        <w:t>, 202</w:t>
                      </w:r>
                      <w:r w:rsidR="00477137">
                        <w:rPr>
                          <w:color w:val="7BAFD4"/>
                          <w:sz w:val="40"/>
                          <w:szCs w:val="40"/>
                        </w:rPr>
                        <w:t>2</w:t>
                      </w:r>
                    </w:p>
                    <w:p w14:paraId="56412225" w14:textId="77777777" w:rsidR="00877E52" w:rsidRPr="0065040C" w:rsidRDefault="00877E52" w:rsidP="006631B9">
                      <w:pPr>
                        <w:ind w:left="567"/>
                        <w:jc w:val="center"/>
                        <w:rPr>
                          <w:color w:val="006B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7F205F" w14:textId="77777777" w:rsidR="00546BAD" w:rsidRPr="00546BAD" w:rsidRDefault="00546BAD" w:rsidP="00546BAD"/>
    <w:p w14:paraId="79098738" w14:textId="77777777" w:rsidR="00546BAD" w:rsidRPr="00546BAD" w:rsidRDefault="00546BAD" w:rsidP="00546BAD"/>
    <w:p w14:paraId="7D955DB6" w14:textId="77777777" w:rsidR="00D353AA" w:rsidRPr="00546BAD" w:rsidRDefault="00D353AA" w:rsidP="00546BAD">
      <w:pPr>
        <w:sectPr w:rsidR="00D353AA" w:rsidRPr="00546BAD" w:rsidSect="00F15CD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701" w:right="51" w:bottom="2835" w:left="1440" w:header="720" w:footer="720" w:gutter="0"/>
          <w:pgNumType w:start="1"/>
          <w:cols w:space="720"/>
          <w:titlePg/>
        </w:sectPr>
      </w:pPr>
    </w:p>
    <w:p w14:paraId="6638FE62" w14:textId="77777777" w:rsidR="00103306" w:rsidRDefault="00103306" w:rsidP="00103306">
      <w:pPr>
        <w:autoSpaceDE w:val="0"/>
        <w:autoSpaceDN w:val="0"/>
        <w:adjustRightInd w:val="0"/>
        <w:spacing w:after="0"/>
        <w:contextualSpacing/>
        <w:rPr>
          <w:rFonts w:cs="Arial"/>
          <w:b/>
        </w:rPr>
      </w:pPr>
    </w:p>
    <w:tbl>
      <w:tblPr>
        <w:tblpPr w:leftFromText="180" w:rightFromText="180" w:horzAnchor="margin" w:tblpY="-1440"/>
        <w:tblW w:w="11335" w:type="dxa"/>
        <w:tblLook w:val="04A0" w:firstRow="1" w:lastRow="0" w:firstColumn="1" w:lastColumn="0" w:noHBand="0" w:noVBand="1"/>
      </w:tblPr>
      <w:tblGrid>
        <w:gridCol w:w="463"/>
        <w:gridCol w:w="8212"/>
        <w:gridCol w:w="257"/>
        <w:gridCol w:w="334"/>
        <w:gridCol w:w="647"/>
        <w:gridCol w:w="236"/>
        <w:gridCol w:w="302"/>
        <w:gridCol w:w="884"/>
      </w:tblGrid>
      <w:tr w:rsidR="0026226D" w:rsidRPr="00137BBC" w14:paraId="55AFCF80" w14:textId="77777777" w:rsidTr="00237066">
        <w:trPr>
          <w:trHeight w:val="70"/>
        </w:trPr>
        <w:tc>
          <w:tcPr>
            <w:tcW w:w="86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83EBC4" w14:textId="77777777" w:rsidR="0026226D" w:rsidRDefault="0026226D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</w:p>
          <w:p w14:paraId="66F882D6" w14:textId="77777777" w:rsidR="0026226D" w:rsidRPr="002402F0" w:rsidRDefault="0026226D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  <w:r w:rsidRPr="002402F0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 xml:space="preserve">Concentra Bank 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C0344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A1FD7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85226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86C75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99B48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D6BB10E" w14:textId="77777777" w:rsidTr="00237066">
        <w:trPr>
          <w:trHeight w:val="86"/>
        </w:trPr>
        <w:tc>
          <w:tcPr>
            <w:tcW w:w="86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B8324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  <w:r w:rsidRPr="002402F0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 xml:space="preserve">Basel III Regulatory Capital </w:t>
            </w:r>
          </w:p>
        </w:tc>
        <w:tc>
          <w:tcPr>
            <w:tcW w:w="2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D79E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B526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573C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F6F61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4B28D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6E91BC88" w14:textId="77777777" w:rsidTr="00237066">
        <w:trPr>
          <w:trHeight w:val="220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28D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E09A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50A1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403" w:type="dxa"/>
            <w:gridSpan w:val="5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EA24C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  <w:lang w:eastAsia="en-CA"/>
              </w:rPr>
            </w:pPr>
          </w:p>
        </w:tc>
      </w:tr>
      <w:tr w:rsidR="0026226D" w:rsidRPr="00137BBC" w14:paraId="670B87C6" w14:textId="77777777" w:rsidTr="00237066">
        <w:trPr>
          <w:trHeight w:val="222"/>
        </w:trPr>
        <w:tc>
          <w:tcPr>
            <w:tcW w:w="86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AB03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($ THOUSANDS, EXCEPT PERCENTAGES)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A6F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32DD4246" w14:textId="321559FA" w:rsidR="0026226D" w:rsidRPr="00137BBC" w:rsidRDefault="003B4052" w:rsidP="00F7385D">
            <w:pPr>
              <w:spacing w:after="0"/>
              <w:jc w:val="both"/>
              <w:rPr>
                <w:rFonts w:ascii="Calibri" w:hAnsi="Calibri" w:cs="Calibri"/>
                <w:sz w:val="16"/>
                <w:szCs w:val="16"/>
                <w:lang w:eastAsia="en-CA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Q</w:t>
            </w:r>
            <w:r w:rsidR="00822F77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4</w:t>
            </w:r>
            <w:r w:rsidR="0026226D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 xml:space="preserve"> 202</w:t>
            </w:r>
            <w:r w:rsidR="00477137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D444A86" w14:textId="77777777" w:rsidR="0026226D" w:rsidRPr="00137BBC" w:rsidRDefault="0026226D" w:rsidP="00F7385D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EBE160" w14:textId="77777777" w:rsidR="0026226D" w:rsidRPr="00137BBC" w:rsidRDefault="0026226D" w:rsidP="00F7385D">
            <w:pPr>
              <w:spacing w:after="0"/>
              <w:jc w:val="both"/>
              <w:rPr>
                <w:rFonts w:ascii="Calibri" w:hAnsi="Calibri" w:cs="Calibri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73212E4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  <w:lang w:eastAsia="en-CA"/>
              </w:rPr>
            </w:pPr>
          </w:p>
        </w:tc>
      </w:tr>
      <w:tr w:rsidR="0026226D" w:rsidRPr="00137BBC" w14:paraId="1DC78183" w14:textId="77777777" w:rsidTr="00237066">
        <w:trPr>
          <w:trHeight w:val="193"/>
        </w:trPr>
        <w:tc>
          <w:tcPr>
            <w:tcW w:w="8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93B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Common Equity Tier 1 capital: instruments and reserves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2C23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C60CA4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center"/>
            <w:hideMark/>
          </w:tcPr>
          <w:p w14:paraId="383D2F5B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E91EC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740D8BC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48B46F3B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3092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0A70" w14:textId="63FF0859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 xml:space="preserve">Directly issued qualifying common share </w:t>
            </w:r>
            <w:r w:rsidR="00C97170"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capital (</w:t>
            </w: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 xml:space="preserve">and equivalent for non-joint </w:t>
            </w:r>
            <w:r w:rsidR="0016212E"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stock companies</w:t>
            </w: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) plus related stock surplus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1236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C1839E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8713232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134,252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F90B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7E98B0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52619552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F55D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82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BCD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Retained earnings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9459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86FA89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EA48B6A" w14:textId="4BF90901" w:rsidR="0026226D" w:rsidRPr="00137BBC" w:rsidRDefault="007F3B34" w:rsidP="003B4052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318</w:t>
            </w:r>
            <w:r w:rsidR="006A5D4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536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854F6E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A44F46B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6359815A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A4C93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3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8587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Accumulated other comprehensive income (and other reserves)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7624B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D6A903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2C2C4A41" w14:textId="43935687" w:rsidR="0026226D" w:rsidRPr="00137BBC" w:rsidRDefault="00B9524E" w:rsidP="003B4052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(</w:t>
            </w:r>
            <w:r w:rsidR="006A5D4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="006A5D4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631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)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296E37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275FC36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5D65BD4B" w14:textId="77777777" w:rsidTr="00237066">
        <w:trPr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43C73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FF10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Common Equity Tier 1 capital before regulatory adjustments</w:t>
            </w: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F618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77AC6D4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2CE90759" w14:textId="67C01BDE" w:rsidR="0026226D" w:rsidRPr="00137BBC" w:rsidRDefault="006A5D4D" w:rsidP="003B4052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</w:t>
            </w:r>
            <w:r w:rsidR="007F3B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7F3B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157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CBB0F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B516A3E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3223C1D0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BEE3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DFBB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1FDE6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92628D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7FA64A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32CC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B08F82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4A639EC8" w14:textId="77777777" w:rsidTr="00237066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0867" w14:textId="77777777" w:rsidR="0026226D" w:rsidRPr="007E31DA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 xml:space="preserve">Common Equity Tier 1 capital: regulatory </w:t>
            </w:r>
            <w:proofErr w:type="gramStart"/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adjustments</w:t>
            </w:r>
            <w:r w:rsidR="007E31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  <w:t>(</w:t>
            </w:r>
            <w:proofErr w:type="gramEnd"/>
            <w:r w:rsidR="007E31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  <w:t>1)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27F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94412A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38DA94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2E8B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0C7C1D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6C27533D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C23C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28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F5F5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 xml:space="preserve">Total regulatory adjustments to Common Equity Tier 1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9B46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8496E9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242454AC" w14:textId="0DD8EE5B" w:rsidR="0026226D" w:rsidRPr="00137BBC" w:rsidRDefault="007F3B34" w:rsidP="005D5D45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(17</w:t>
            </w:r>
            <w:r w:rsidR="006A5D4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907)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D11EB5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193BF87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3D37A693" w14:textId="77777777" w:rsidTr="00237066">
        <w:trPr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14A04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29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142D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Common Equity Tier 1 capital (CET1)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ECFB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301422A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0F826C30" w14:textId="1B1B966F" w:rsidR="0026226D" w:rsidRPr="007B1DCD" w:rsidRDefault="006A5D4D" w:rsidP="003B4052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19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250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7D292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1A0B473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0B43D46A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E268D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29a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9BE3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Common Equity Tier 1 capital (CET1)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6F3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B92404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4B93B83" w14:textId="6FB98F31" w:rsidR="0026226D" w:rsidRPr="007B1DCD" w:rsidRDefault="006F307B" w:rsidP="0014577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</w:t>
            </w:r>
            <w:r w:rsidR="00E04706"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16</w:t>
            </w:r>
            <w:r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E04706"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477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2CE842" w14:textId="77777777" w:rsidR="0026226D" w:rsidRPr="00A70A10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02D6F363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3C7124F5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A9DF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A5CB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4CD6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A22A3C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DF1002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088C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6AB15D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7F73801F" w14:textId="77777777" w:rsidTr="00237066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94A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Additional Tier 1 capital: instruments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AE01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3C31A1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ECC880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B135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D71BD2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3532CA19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337B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30</w:t>
            </w:r>
          </w:p>
        </w:tc>
        <w:tc>
          <w:tcPr>
            <w:tcW w:w="82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9FD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Directly issued qualifying Additional Tier 1 instruments plus related stock surplus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7EB9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6F6589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3B2B843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110,987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53966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03BE4391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0D3A2B85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FF24D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31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F704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 xml:space="preserve">          of which: classified as equity under applicable accounting standards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33AD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1F45AC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64AC7D3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110,987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E0D373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51CCEE7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0085C23C" w14:textId="77777777" w:rsidTr="00237066">
        <w:trPr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43841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36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ECC2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Additional Tier 1 capital before regulatory adjustments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B23B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5656607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ABEF983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110,987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76F95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E488E3E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434704C5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25E1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F76B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67836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74E718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765B87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3B2B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CBAA0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97E69D6" w14:textId="77777777" w:rsidTr="00237066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C9D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Additional Tier 1 capital: regulatory adjustments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1F0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D6F5F8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4B082C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4EF3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6AB022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3FF9B364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FE4D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43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955B" w14:textId="13E603A4" w:rsidR="0026226D" w:rsidRPr="00137BBC" w:rsidRDefault="0026226D" w:rsidP="00F7385D">
            <w:pPr>
              <w:spacing w:after="0"/>
              <w:rPr>
                <w:rFonts w:ascii="Calibri" w:hAnsi="Calibri" w:cs="Calibri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sz w:val="16"/>
                <w:szCs w:val="16"/>
                <w:lang w:eastAsia="en-CA"/>
              </w:rPr>
              <w:t xml:space="preserve">Total regulatory adjustments </w:t>
            </w:r>
            <w:r w:rsidR="00C97170" w:rsidRPr="00137BBC">
              <w:rPr>
                <w:rFonts w:ascii="Calibri" w:hAnsi="Calibri" w:cs="Calibri"/>
                <w:sz w:val="16"/>
                <w:szCs w:val="16"/>
                <w:lang w:eastAsia="en-CA"/>
              </w:rPr>
              <w:t>to Additional</w:t>
            </w:r>
            <w:r w:rsidRPr="00137BBC">
              <w:rPr>
                <w:rFonts w:ascii="Calibri" w:hAnsi="Calibri" w:cs="Calibri"/>
                <w:sz w:val="16"/>
                <w:szCs w:val="16"/>
                <w:lang w:eastAsia="en-CA"/>
              </w:rPr>
              <w:t xml:space="preserve"> Tier 1 capital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4A58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59F850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3BF854F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9F5C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D06911C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6A065479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E375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44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A016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Additional Tier 1 capital (AT1)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5B17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D65767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87ED6CC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110,987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033DF4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286C9E6C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2B96FD39" w14:textId="77777777" w:rsidTr="00237066">
        <w:trPr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38B7D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45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AF29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Tier 1 capital (T1 = CET1 + AT1)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A06F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91AFA3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2AFDF5CF" w14:textId="59315487" w:rsidR="0026226D" w:rsidRPr="00137BBC" w:rsidRDefault="006A5D4D" w:rsidP="003B4052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="00822F7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237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CBDA4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6815B44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6131D8B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D2C0D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45a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FDF5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Tier 1 capital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7E6A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375914B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F7BE420" w14:textId="684ACEC8" w:rsidR="0026226D" w:rsidRPr="00666814" w:rsidRDefault="006F307B" w:rsidP="0014577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en-CA"/>
              </w:rPr>
            </w:pPr>
            <w:r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27</w:t>
            </w:r>
            <w:r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9C4974"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</w:t>
            </w:r>
            <w:r w:rsid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64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EB9C4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2FD83FC4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3433E635" w14:textId="77777777" w:rsidTr="00237066">
        <w:trPr>
          <w:trHeight w:val="18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2114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F654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CA3F3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9AA53E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662A33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C089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B83392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E1067F6" w14:textId="77777777" w:rsidTr="00237066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47B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Tier 2 capital: instruments and allowances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2DD6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4E4421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3C80A1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8658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A9CD7D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0E24E22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0595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50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0E5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Collective allowances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2874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AEBA12E" w14:textId="77777777" w:rsidR="0026226D" w:rsidRPr="00137BBC" w:rsidRDefault="005179D9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  <w:r w:rsidR="0026226D"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C933003" w14:textId="1DB59A42" w:rsidR="0026226D" w:rsidRPr="00137BBC" w:rsidRDefault="006A5D4D" w:rsidP="002F634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911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B5D0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13CB46C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2BF6A100" w14:textId="77777777" w:rsidTr="00237066">
        <w:trPr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C18FC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51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76E7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Tier 2 capital before regulatory adjustments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50D5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4AD9B1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7323D569" w14:textId="5610E3B1" w:rsidR="0026226D" w:rsidRPr="00137BBC" w:rsidRDefault="006A5D4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911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BF1A5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E62B640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79AF0D7D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3845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7C8C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8B34B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553131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F0F76A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89C3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F9DF43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64F9A9D0" w14:textId="77777777" w:rsidTr="00237066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6BFF" w14:textId="77777777" w:rsidR="0026226D" w:rsidRPr="007E31DA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 xml:space="preserve">Tier 2 capital: regulatory </w:t>
            </w:r>
            <w:proofErr w:type="gramStart"/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adjustments</w:t>
            </w:r>
            <w:r w:rsidR="007E31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  <w:t>(</w:t>
            </w:r>
            <w:proofErr w:type="gramEnd"/>
            <w:r w:rsidR="007E31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  <w:t>2)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CEB9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A5673B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1A2235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2EE7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0F2281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6EE711D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8321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58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763E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Tier 2 capital (T2)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F6EE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56D73C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3002C94" w14:textId="028FCC4B" w:rsidR="0026226D" w:rsidRPr="00137BBC" w:rsidRDefault="006A5D4D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911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BB10F0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B85CBF6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87FC982" w14:textId="77777777" w:rsidTr="00237066">
        <w:trPr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629B8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59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B5CE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Total capital (TC = T1 +T2)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8A4D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0F8EDE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8CA8A6F" w14:textId="54D637F8" w:rsidR="0026226D" w:rsidRPr="00137BBC" w:rsidRDefault="006A5D4D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59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148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2D98E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9504BFB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343CE472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2344C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59a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D510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Total capital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587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15411F7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7E617F61" w14:textId="770C9CCC" w:rsidR="0026226D" w:rsidRPr="009C4974" w:rsidRDefault="006A5D4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59</w:t>
            </w:r>
            <w:r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148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60BA4D" w14:textId="77777777" w:rsidR="0026226D" w:rsidRPr="009C4974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02D804CD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440CC6E8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B732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B21B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1B7D0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0255FB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4D6797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F106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E259D3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718A6B19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8527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60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FEF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Total risk-weighted assets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0FC6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88F0D5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2FFEFB1" w14:textId="2B6FC579" w:rsidR="0026226D" w:rsidRPr="00137BBC" w:rsidRDefault="005D0606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3,</w:t>
            </w:r>
            <w:r w:rsidR="006A5D4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</w:t>
            </w:r>
            <w:r w:rsidR="001E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7</w:t>
            </w:r>
            <w:r w:rsidR="007F3B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6A5D4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7F3B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036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B236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DAA18E9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5C40ED9F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90B8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DFC1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39AB9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2C37A1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03041E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D7B4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4E773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44751C4" w14:textId="77777777" w:rsidTr="00237066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C8C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Capital ratios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B2FD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D182C9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374827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ECE2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DF67DD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0A9DD4FF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94D0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61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A36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Common Equity Tier 1 (as a percentage of risk-weighted assets)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6E7A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BE2032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8A0CBCF" w14:textId="1794B455" w:rsidR="0026226D" w:rsidRPr="00137BBC" w:rsidRDefault="005D0606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6A5D4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2.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26226D"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7A4B6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F368BCC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2C08C7D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03D7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61a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3AB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CET1 Ratio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1DEF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E9264F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1385862" w14:textId="1ADCB525" w:rsidR="0026226D" w:rsidRPr="007B1DCD" w:rsidRDefault="0026226D" w:rsidP="0014577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6F307B"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2.</w:t>
            </w:r>
            <w:r w:rsid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0</w:t>
            </w:r>
            <w:r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37CB8" w14:textId="77777777" w:rsidR="0026226D" w:rsidRPr="00A70A10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F485DE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7E9654C4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4E2E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62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327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Tier 1 (as a percentage of risk-weighted assets)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A237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E2E92C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BC17EE8" w14:textId="529D78BB" w:rsidR="0026226D" w:rsidRPr="007B1DCD" w:rsidRDefault="00EE390D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7B1D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380CBD" w:rsidRPr="007B1D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Pr="007B1D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</w:t>
            </w:r>
            <w:r w:rsidR="0026226D" w:rsidRPr="007B1D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E8755" w14:textId="77777777" w:rsidR="0026226D" w:rsidRPr="00A70A10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90ACE3B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08D261E5" w14:textId="77777777" w:rsidTr="00237066">
        <w:trPr>
          <w:trHeight w:val="62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F144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62a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A68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Tier 1 Capital Ratio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674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1EEE22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46671DF" w14:textId="3A150A5D" w:rsidR="0026226D" w:rsidRPr="009137E0" w:rsidRDefault="0026226D" w:rsidP="0014577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21329F"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 w:rsidR="009137E0"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B417A" w14:textId="77777777" w:rsidR="0026226D" w:rsidRPr="00A70A10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B7BD61F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22CFA2D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40C6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63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905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Total capital (as a percentage of risk-weighted assets)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647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7E3598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7ED9FDF" w14:textId="6AFDDB58" w:rsidR="0026226D" w:rsidRPr="009137E0" w:rsidRDefault="00EE390D" w:rsidP="00A50AFE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6A5D4D"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6.</w:t>
            </w:r>
            <w:r w:rsid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26226D"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B316F" w14:textId="77777777" w:rsidR="0026226D" w:rsidRPr="00A70A10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844603E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2FBBB2A0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470B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63a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61C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Total Capital Ratio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35DD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083DF7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E1FBFD3" w14:textId="0443E5D4" w:rsidR="0026226D" w:rsidRPr="009137E0" w:rsidRDefault="00145773" w:rsidP="0014577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6F307B"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6.</w:t>
            </w:r>
            <w:r w:rsidR="009137E0"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26226D" w:rsidRPr="009137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EF054" w14:textId="77777777" w:rsidR="0026226D" w:rsidRPr="00A70A10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2669F4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6BDFD446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6DC7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5A56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6766E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089FDA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8D3CEA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B82E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EC8E40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473E9180" w14:textId="77777777" w:rsidTr="00237066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807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OSFI all-in target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EF7A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98030B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5D8BA6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42C4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D298D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2529C0D8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BF14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69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4B7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Common Equity Tier 1 capital all-in target ratio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EEEF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B3278A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A4BB9D8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7.0%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7434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5E7B57A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0C5CC88C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E8CC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70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BB2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Tier 1 capital all-in target ratio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368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7CAF35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FE56A8D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8.5%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5944A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586B865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2C6A069A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4BC5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71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A52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Total capital all-in target ratio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81D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219EEB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7E6C5E2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10.5%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230D1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55797DF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4E283ABB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0B72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1BE2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9687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44D825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C8D765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2507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5D66D3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4AF7C531" w14:textId="77777777" w:rsidTr="00237066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05C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Capital instruments subject to phase-out arrangements (only applicable between 1 Jan 2013 and 1 Jan 2022)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4881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E65003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3C62A7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864C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E1E498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5CEA12B3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BA07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80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4E2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Current cap on CET1 instruments subject to phase out arrangements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EE23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7C9217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A167328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C8898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520F881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61127423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52D1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81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E41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Amounts excluded from CET1 due to cap (excess over cap after redemptions and maturities)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D06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682999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B4A38A6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C2481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4C1276D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C4C0985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4001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82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1F5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Current cap on AT1 instruments subject to phase out arrangements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F55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A33C3B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EE7939B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522A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5AD938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7F99B10F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F46E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83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F3E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Amounts excluded from AT1 due to cap (excess over cap after redemptions and maturities)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EE95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47B5A7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B4A8495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D43EA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1B31E2E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0E553B57" w14:textId="77777777" w:rsidTr="00237066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9172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84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AC2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Current cap on T2 instruments subject to phase out arrangements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A9FD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5E3E9B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38A7BDB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E60FE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C9BC158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3BC2E37D" w14:textId="77777777" w:rsidTr="00237066">
        <w:trPr>
          <w:trHeight w:val="62"/>
        </w:trPr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2416F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85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52E7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Amounts excluded from T2 due to cap (excess over cap after redemptions and maturities)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738D4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57FFA9B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9A3"/>
            <w:noWrap/>
            <w:vAlign w:val="center"/>
            <w:hideMark/>
          </w:tcPr>
          <w:p w14:paraId="061FCCC5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FF66E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D1A79E4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</w:tbl>
    <w:p w14:paraId="3E9E0D13" w14:textId="57BE317F" w:rsidR="0026226D" w:rsidRPr="00AB6EE2" w:rsidRDefault="0026226D" w:rsidP="0026226D">
      <w:pPr>
        <w:spacing w:after="0"/>
        <w:rPr>
          <w:rFonts w:cs="Segoe UI"/>
          <w:i/>
          <w:iCs/>
          <w:color w:val="000000"/>
          <w:sz w:val="14"/>
          <w:szCs w:val="14"/>
        </w:rPr>
      </w:pPr>
      <w:r w:rsidRPr="00AB6EE2">
        <w:rPr>
          <w:rFonts w:cs="Segoe UI"/>
          <w:i/>
          <w:iCs/>
          <w:color w:val="000000"/>
          <w:sz w:val="14"/>
          <w:szCs w:val="14"/>
        </w:rPr>
        <w:t>(</w:t>
      </w:r>
      <w:r>
        <w:rPr>
          <w:rFonts w:cs="Segoe UI"/>
          <w:i/>
          <w:iCs/>
          <w:color w:val="000000"/>
          <w:sz w:val="14"/>
          <w:szCs w:val="14"/>
        </w:rPr>
        <w:t>1</w:t>
      </w:r>
      <w:r w:rsidRPr="00AB6EE2">
        <w:rPr>
          <w:rFonts w:cs="Segoe UI"/>
          <w:i/>
          <w:iCs/>
          <w:color w:val="000000"/>
          <w:sz w:val="14"/>
          <w:szCs w:val="14"/>
        </w:rPr>
        <w:t xml:space="preserve">) The regulatory adjustments include such items as </w:t>
      </w:r>
      <w:r>
        <w:rPr>
          <w:rFonts w:cs="Segoe UI"/>
          <w:i/>
          <w:iCs/>
          <w:color w:val="000000"/>
          <w:sz w:val="14"/>
          <w:szCs w:val="14"/>
        </w:rPr>
        <w:t xml:space="preserve">goodwill, intangible assets, </w:t>
      </w:r>
      <w:r w:rsidRPr="00AB6EE2">
        <w:rPr>
          <w:rFonts w:cs="Segoe UI"/>
          <w:i/>
          <w:iCs/>
          <w:color w:val="000000"/>
          <w:sz w:val="14"/>
          <w:szCs w:val="14"/>
        </w:rPr>
        <w:t xml:space="preserve">non-significant investments in the capital of banking, financial and insurance </w:t>
      </w:r>
      <w:proofErr w:type="gramStart"/>
      <w:r w:rsidRPr="00AB6EE2">
        <w:rPr>
          <w:rFonts w:cs="Segoe UI"/>
          <w:i/>
          <w:iCs/>
          <w:color w:val="000000"/>
          <w:sz w:val="14"/>
          <w:szCs w:val="14"/>
        </w:rPr>
        <w:t>entities</w:t>
      </w:r>
      <w:proofErr w:type="gramEnd"/>
      <w:r>
        <w:rPr>
          <w:rFonts w:cs="Segoe UI"/>
          <w:i/>
          <w:iCs/>
          <w:color w:val="000000"/>
          <w:sz w:val="14"/>
          <w:szCs w:val="14"/>
        </w:rPr>
        <w:t xml:space="preserve"> and transitional arrangements for expected loss provisioning</w:t>
      </w:r>
      <w:r w:rsidRPr="00AB6EE2">
        <w:rPr>
          <w:rFonts w:cs="Segoe UI"/>
          <w:i/>
          <w:iCs/>
          <w:color w:val="000000"/>
          <w:sz w:val="14"/>
          <w:szCs w:val="14"/>
        </w:rPr>
        <w:t xml:space="preserve">. </w:t>
      </w:r>
      <w:r>
        <w:rPr>
          <w:rFonts w:cs="Segoe UI"/>
          <w:i/>
          <w:iCs/>
          <w:color w:val="000000"/>
          <w:sz w:val="14"/>
          <w:szCs w:val="14"/>
        </w:rPr>
        <w:t>T</w:t>
      </w:r>
      <w:r w:rsidRPr="00EA2560">
        <w:rPr>
          <w:rFonts w:cs="Segoe UI"/>
          <w:i/>
          <w:iCs/>
          <w:color w:val="000000"/>
          <w:sz w:val="14"/>
          <w:szCs w:val="14"/>
        </w:rPr>
        <w:t>he Office of the Superintendent of Financial Institutions Canada (OSFI) introduced</w:t>
      </w:r>
      <w:r>
        <w:t xml:space="preserve"> </w:t>
      </w:r>
      <w:r w:rsidRPr="009A7E63">
        <w:rPr>
          <w:rFonts w:cs="Segoe UI"/>
          <w:i/>
          <w:iCs/>
          <w:color w:val="000000"/>
          <w:sz w:val="14"/>
          <w:szCs w:val="14"/>
        </w:rPr>
        <w:t>expected loss provisioning</w:t>
      </w:r>
      <w:r w:rsidRPr="00EA2560">
        <w:rPr>
          <w:rFonts w:cs="Segoe UI"/>
          <w:i/>
          <w:iCs/>
          <w:color w:val="000000"/>
          <w:sz w:val="14"/>
          <w:szCs w:val="14"/>
        </w:rPr>
        <w:t xml:space="preserve"> transitional arrang</w:t>
      </w:r>
      <w:r>
        <w:rPr>
          <w:rFonts w:cs="Segoe UI"/>
          <w:i/>
          <w:iCs/>
          <w:color w:val="000000"/>
          <w:sz w:val="14"/>
          <w:szCs w:val="14"/>
        </w:rPr>
        <w:t xml:space="preserve">ements for capital treatment </w:t>
      </w:r>
      <w:r w:rsidRPr="00EA2560">
        <w:rPr>
          <w:rFonts w:cs="Segoe UI"/>
          <w:i/>
          <w:iCs/>
          <w:color w:val="000000"/>
          <w:sz w:val="14"/>
          <w:szCs w:val="14"/>
        </w:rPr>
        <w:t>allowing a portion of eligible allowances to be included in CET1 instead of Tier 2 capital on a transitional basis commenci</w:t>
      </w:r>
      <w:r>
        <w:rPr>
          <w:rFonts w:cs="Segoe UI"/>
          <w:i/>
          <w:iCs/>
          <w:color w:val="000000"/>
          <w:sz w:val="14"/>
          <w:szCs w:val="14"/>
        </w:rPr>
        <w:t>ng in 2020 through to 2022. This adjustment</w:t>
      </w:r>
      <w:r w:rsidRPr="00EA2560">
        <w:rPr>
          <w:rFonts w:cs="Segoe UI"/>
          <w:i/>
          <w:iCs/>
          <w:color w:val="000000"/>
          <w:sz w:val="14"/>
          <w:szCs w:val="14"/>
        </w:rPr>
        <w:t xml:space="preserve"> is </w:t>
      </w:r>
      <w:r>
        <w:rPr>
          <w:rFonts w:cs="Segoe UI"/>
          <w:i/>
          <w:iCs/>
          <w:color w:val="000000"/>
          <w:sz w:val="14"/>
          <w:szCs w:val="14"/>
        </w:rPr>
        <w:t>calculated</w:t>
      </w:r>
      <w:r w:rsidRPr="00EA2560">
        <w:rPr>
          <w:rFonts w:cs="Segoe UI"/>
          <w:i/>
          <w:iCs/>
          <w:color w:val="000000"/>
          <w:sz w:val="14"/>
          <w:szCs w:val="14"/>
        </w:rPr>
        <w:t xml:space="preserve"> each quarter as the increase in Stage 1 and Stage 2 allowances relative to the amount of Stage 1 and Stage 2 allowances as </w:t>
      </w:r>
      <w:proofErr w:type="gramStart"/>
      <w:r w:rsidRPr="00EA2560">
        <w:rPr>
          <w:rFonts w:cs="Segoe UI"/>
          <w:i/>
          <w:iCs/>
          <w:color w:val="000000"/>
          <w:sz w:val="14"/>
          <w:szCs w:val="14"/>
        </w:rPr>
        <w:t>at</w:t>
      </w:r>
      <w:proofErr w:type="gramEnd"/>
      <w:r w:rsidRPr="00EA2560">
        <w:rPr>
          <w:rFonts w:cs="Segoe UI"/>
          <w:i/>
          <w:iCs/>
          <w:color w:val="000000"/>
          <w:sz w:val="14"/>
          <w:szCs w:val="14"/>
        </w:rPr>
        <w:t xml:space="preserve"> December 31, 2019. This increased amount is </w:t>
      </w:r>
      <w:r>
        <w:rPr>
          <w:rFonts w:cs="Segoe UI"/>
          <w:i/>
          <w:iCs/>
          <w:color w:val="000000"/>
          <w:sz w:val="14"/>
          <w:szCs w:val="14"/>
        </w:rPr>
        <w:t>tax adjusted</w:t>
      </w:r>
      <w:r w:rsidRPr="00EA2560">
        <w:rPr>
          <w:rFonts w:cs="Segoe UI"/>
          <w:i/>
          <w:iCs/>
          <w:color w:val="000000"/>
          <w:sz w:val="14"/>
          <w:szCs w:val="14"/>
        </w:rPr>
        <w:t xml:space="preserve"> and subject to a scaling factor that will decrease over time. The scaling factor to be applied is 70% for 2020, 50% for 2021 </w:t>
      </w:r>
      <w:r>
        <w:rPr>
          <w:rFonts w:cs="Segoe UI"/>
          <w:i/>
          <w:iCs/>
          <w:color w:val="000000"/>
          <w:sz w:val="14"/>
          <w:szCs w:val="14"/>
        </w:rPr>
        <w:t>and 25% for 2022. T</w:t>
      </w:r>
      <w:r w:rsidRPr="00EA2560">
        <w:rPr>
          <w:rFonts w:cs="Segoe UI"/>
          <w:i/>
          <w:iCs/>
          <w:color w:val="000000"/>
          <w:sz w:val="14"/>
          <w:szCs w:val="14"/>
        </w:rPr>
        <w:t xml:space="preserve">he Company applied a scaling factor of </w:t>
      </w:r>
      <w:r w:rsidR="00D305DC">
        <w:rPr>
          <w:rFonts w:cs="Segoe UI"/>
          <w:i/>
          <w:iCs/>
          <w:color w:val="000000"/>
          <w:sz w:val="14"/>
          <w:szCs w:val="14"/>
        </w:rPr>
        <w:t>25</w:t>
      </w:r>
      <w:r w:rsidRPr="00EA2560">
        <w:rPr>
          <w:rFonts w:cs="Segoe UI"/>
          <w:i/>
          <w:iCs/>
          <w:color w:val="000000"/>
          <w:sz w:val="14"/>
          <w:szCs w:val="14"/>
        </w:rPr>
        <w:t>% for Q</w:t>
      </w:r>
      <w:r w:rsidR="001E3DE2">
        <w:rPr>
          <w:rFonts w:cs="Segoe UI"/>
          <w:i/>
          <w:iCs/>
          <w:color w:val="000000"/>
          <w:sz w:val="14"/>
          <w:szCs w:val="14"/>
        </w:rPr>
        <w:t>4</w:t>
      </w:r>
      <w:r w:rsidRPr="00EA2560">
        <w:rPr>
          <w:rFonts w:cs="Segoe UI"/>
          <w:i/>
          <w:iCs/>
          <w:color w:val="000000"/>
          <w:sz w:val="14"/>
          <w:szCs w:val="14"/>
        </w:rPr>
        <w:t xml:space="preserve"> 202</w:t>
      </w:r>
      <w:r w:rsidR="00D305DC">
        <w:rPr>
          <w:rFonts w:cs="Segoe UI"/>
          <w:i/>
          <w:iCs/>
          <w:color w:val="000000"/>
          <w:sz w:val="14"/>
          <w:szCs w:val="14"/>
        </w:rPr>
        <w:t>2</w:t>
      </w:r>
      <w:r w:rsidRPr="00EA2560">
        <w:rPr>
          <w:rFonts w:cs="Segoe UI"/>
          <w:i/>
          <w:iCs/>
          <w:color w:val="000000"/>
          <w:sz w:val="14"/>
          <w:szCs w:val="14"/>
        </w:rPr>
        <w:t>.</w:t>
      </w:r>
      <w:r>
        <w:rPr>
          <w:rFonts w:cs="Segoe UI"/>
          <w:i/>
          <w:iCs/>
          <w:color w:val="000000"/>
          <w:sz w:val="14"/>
          <w:szCs w:val="14"/>
        </w:rPr>
        <w:t xml:space="preserve">  </w:t>
      </w:r>
    </w:p>
    <w:p w14:paraId="50686380" w14:textId="77777777" w:rsidR="0026226D" w:rsidRDefault="0026226D" w:rsidP="0026226D">
      <w:pPr>
        <w:rPr>
          <w:rFonts w:cs="Segoe UI"/>
          <w:i/>
          <w:iCs/>
          <w:color w:val="000000"/>
          <w:sz w:val="14"/>
          <w:szCs w:val="14"/>
        </w:rPr>
      </w:pPr>
      <w:r w:rsidRPr="00AB6EE2">
        <w:rPr>
          <w:rFonts w:cs="Segoe UI"/>
          <w:i/>
          <w:iCs/>
          <w:color w:val="000000"/>
          <w:sz w:val="14"/>
          <w:szCs w:val="14"/>
        </w:rPr>
        <w:t>(</w:t>
      </w:r>
      <w:r>
        <w:rPr>
          <w:rFonts w:cs="Segoe UI"/>
          <w:i/>
          <w:iCs/>
          <w:color w:val="000000"/>
          <w:sz w:val="14"/>
          <w:szCs w:val="14"/>
        </w:rPr>
        <w:t>2</w:t>
      </w:r>
      <w:r w:rsidRPr="00AB6EE2">
        <w:rPr>
          <w:rFonts w:cs="Segoe UI"/>
          <w:i/>
          <w:iCs/>
          <w:color w:val="000000"/>
          <w:sz w:val="14"/>
          <w:szCs w:val="14"/>
        </w:rPr>
        <w:t>) Tier 2 regulatory adjustments include non-significant investments in the capital of banking, financial and insurance entities.</w:t>
      </w:r>
    </w:p>
    <w:tbl>
      <w:tblPr>
        <w:tblpPr w:leftFromText="180" w:rightFromText="180" w:horzAnchor="margin" w:tblpY="-1440"/>
        <w:tblW w:w="11306" w:type="dxa"/>
        <w:tblLook w:val="04A0" w:firstRow="1" w:lastRow="0" w:firstColumn="1" w:lastColumn="0" w:noHBand="0" w:noVBand="1"/>
      </w:tblPr>
      <w:tblGrid>
        <w:gridCol w:w="463"/>
        <w:gridCol w:w="8212"/>
        <w:gridCol w:w="257"/>
        <w:gridCol w:w="302"/>
        <w:gridCol w:w="695"/>
        <w:gridCol w:w="253"/>
        <w:gridCol w:w="1186"/>
      </w:tblGrid>
      <w:tr w:rsidR="0026226D" w:rsidRPr="00137BBC" w14:paraId="5C5B5CCF" w14:textId="77777777" w:rsidTr="00F7385D">
        <w:trPr>
          <w:gridAfter w:val="1"/>
          <w:wAfter w:w="1186" w:type="dxa"/>
          <w:trHeight w:val="70"/>
        </w:trPr>
        <w:tc>
          <w:tcPr>
            <w:tcW w:w="86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BDF7EC" w14:textId="77777777" w:rsidR="0026226D" w:rsidRDefault="0026226D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</w:p>
          <w:p w14:paraId="45DCEB15" w14:textId="77777777" w:rsidR="0026226D" w:rsidRPr="002402F0" w:rsidRDefault="0026226D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  <w:r w:rsidRPr="002402F0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 xml:space="preserve">Concentra Bank 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33500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912C3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5A7C3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0EBD2EEA" w14:textId="77777777" w:rsidTr="00F7385D">
        <w:trPr>
          <w:gridAfter w:val="1"/>
          <w:wAfter w:w="1186" w:type="dxa"/>
          <w:trHeight w:val="86"/>
        </w:trPr>
        <w:tc>
          <w:tcPr>
            <w:tcW w:w="86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04587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>Leverage Ratio</w:t>
            </w:r>
            <w:r w:rsidRPr="002402F0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2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2192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BE42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971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26226D" w:rsidRPr="00137BBC" w14:paraId="6262E1A8" w14:textId="77777777" w:rsidTr="00F7385D">
        <w:trPr>
          <w:trHeight w:val="220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8D8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D7DF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5476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374" w:type="dxa"/>
            <w:gridSpan w:val="4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7D138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  <w:lang w:eastAsia="en-CA"/>
              </w:rPr>
            </w:pPr>
          </w:p>
        </w:tc>
      </w:tr>
      <w:tr w:rsidR="0026226D" w:rsidRPr="00137BBC" w14:paraId="3DC5A3FA" w14:textId="77777777" w:rsidTr="00F7385D">
        <w:trPr>
          <w:gridAfter w:val="1"/>
          <w:wAfter w:w="1186" w:type="dxa"/>
          <w:trHeight w:val="222"/>
        </w:trPr>
        <w:tc>
          <w:tcPr>
            <w:tcW w:w="86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7CC0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($ THOUSANDS, EXCEPT PERCENTAGES)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659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7D5100C" w14:textId="0E3B83AB" w:rsidR="0026226D" w:rsidRPr="00137BBC" w:rsidRDefault="0026226D" w:rsidP="005D0606">
            <w:pPr>
              <w:spacing w:after="0"/>
              <w:jc w:val="both"/>
              <w:rPr>
                <w:rFonts w:ascii="Calibri" w:hAnsi="Calibri" w:cs="Calibri"/>
                <w:sz w:val="16"/>
                <w:szCs w:val="16"/>
                <w:lang w:eastAsia="en-CA"/>
              </w:rPr>
            </w:pPr>
            <w:r w:rsidRPr="0065621B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Q</w:t>
            </w:r>
            <w:r w:rsidR="001E3DE2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4</w:t>
            </w:r>
            <w:r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 xml:space="preserve"> 202</w:t>
            </w:r>
            <w:r w:rsidR="00D305DC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53D56D0E" w14:textId="77777777" w:rsidR="0026226D" w:rsidRPr="00137BBC" w:rsidRDefault="0026226D" w:rsidP="00F7385D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  <w:lang w:eastAsia="en-CA"/>
              </w:rPr>
            </w:pPr>
          </w:p>
        </w:tc>
      </w:tr>
      <w:tr w:rsidR="0026226D" w:rsidRPr="00137BBC" w14:paraId="30535054" w14:textId="77777777" w:rsidTr="00F7385D">
        <w:trPr>
          <w:gridAfter w:val="1"/>
          <w:wAfter w:w="1186" w:type="dxa"/>
          <w:trHeight w:val="193"/>
        </w:trPr>
        <w:tc>
          <w:tcPr>
            <w:tcW w:w="8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8B4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232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On-balance sheet exposures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B29D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361B05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center"/>
            <w:hideMark/>
          </w:tcPr>
          <w:p w14:paraId="05B5F3B6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26226D" w:rsidRPr="00137BBC" w14:paraId="2E6D7787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7DBC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594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423280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On-balance sheet items (excluding derivatives, SFT’s and grandfathered securitization exposures but including collateral)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6092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239DE4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1114414" w14:textId="7C094796" w:rsidR="0026226D" w:rsidRPr="00137BBC" w:rsidRDefault="006F307B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10,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9E21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91</w:t>
            </w:r>
            <w:r w:rsidR="007E31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9E21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599</w:t>
            </w:r>
          </w:p>
        </w:tc>
      </w:tr>
      <w:tr w:rsidR="0026226D" w:rsidRPr="00137BBC" w14:paraId="12DA9367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F3BBA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4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3258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423280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(Asset amounts deducted in determining Tier 1 capital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F4DAB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5F78147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1CB625F3" w14:textId="20F00E65" w:rsidR="0026226D" w:rsidRPr="00137BBC" w:rsidRDefault="005D0606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(</w:t>
            </w:r>
            <w:r w:rsidR="006F30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D047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6F30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D047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855</w:t>
            </w:r>
            <w:r w:rsidR="0026226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)</w:t>
            </w:r>
          </w:p>
        </w:tc>
      </w:tr>
      <w:tr w:rsidR="0026226D" w:rsidRPr="00137BBC" w14:paraId="39030653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58BC4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FC4A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232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Total on-balance sheet exposures (excluding derivatives and SFTs)</w:t>
            </w: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739F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5FC6AA4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37FCDB2" w14:textId="55157579" w:rsidR="0026226D" w:rsidRPr="00137BBC" w:rsidRDefault="005D0606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6F30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0,</w:t>
            </w:r>
            <w:r w:rsidR="001E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D047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69</w:t>
            </w:r>
            <w:r w:rsidR="007E31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D047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744</w:t>
            </w:r>
          </w:p>
        </w:tc>
      </w:tr>
      <w:tr w:rsidR="0026226D" w:rsidRPr="00137BBC" w14:paraId="771C19E5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5DC4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0A36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C8393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4605C9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FCD03E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26226D" w:rsidRPr="00137BBC" w14:paraId="59AEFBCF" w14:textId="77777777" w:rsidTr="00F7385D">
        <w:trPr>
          <w:gridAfter w:val="1"/>
          <w:wAfter w:w="1186" w:type="dxa"/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69F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232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Derivative exposures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0FC3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FB93DC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084975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26226D" w:rsidRPr="00137BBC" w14:paraId="7542BF9E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232B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02D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423280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Replacement cost associated with all derivative transactions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99E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26EAAF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AA20912" w14:textId="20608659" w:rsidR="0026226D" w:rsidRPr="00137BBC" w:rsidRDefault="0041610B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1E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26226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1E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630</w:t>
            </w:r>
          </w:p>
        </w:tc>
      </w:tr>
      <w:tr w:rsidR="0026226D" w:rsidRPr="00137BBC" w14:paraId="11483DA2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0690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7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E870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423280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Add-on amounts for potential future exposure associated with all derivative transactions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EBA4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E1E4D5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B89672E" w14:textId="63F49EEA" w:rsidR="0026226D" w:rsidRPr="00137BBC" w:rsidRDefault="001E3DE2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="006F307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341</w:t>
            </w:r>
          </w:p>
        </w:tc>
      </w:tr>
      <w:tr w:rsidR="0026226D" w:rsidRPr="00137BBC" w14:paraId="12021352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13550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11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7002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02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Total derivative exposures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D939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8C3BCE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3832DAD6" w14:textId="0269641A" w:rsidR="0026226D" w:rsidRPr="00137BBC" w:rsidRDefault="001E3DE2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27</w:t>
            </w:r>
            <w:r w:rsidR="00F95B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971</w:t>
            </w:r>
          </w:p>
        </w:tc>
      </w:tr>
      <w:tr w:rsidR="0026226D" w:rsidRPr="00137BBC" w14:paraId="6419D2B8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E084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1CD8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C4BBB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70226C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897014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26226D" w:rsidRPr="00137BBC" w14:paraId="67A4AC34" w14:textId="77777777" w:rsidTr="00F7385D">
        <w:trPr>
          <w:gridAfter w:val="1"/>
          <w:wAfter w:w="1186" w:type="dxa"/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BE5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02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Other off balance sheet exposures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5C0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8FF602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81779B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26226D" w:rsidRPr="00137BBC" w14:paraId="67F0CC3D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4179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17</w:t>
            </w:r>
          </w:p>
        </w:tc>
        <w:tc>
          <w:tcPr>
            <w:tcW w:w="82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9F1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A024D9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Off-balance sheet exposure at gross notional amount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710E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850DFD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1A8E89E" w14:textId="7B1A34DD" w:rsidR="0026226D" w:rsidRPr="00137BBC" w:rsidRDefault="001E3DE2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571</w:t>
            </w:r>
            <w:r w:rsidR="00F95B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358</w:t>
            </w:r>
          </w:p>
        </w:tc>
      </w:tr>
      <w:tr w:rsidR="0026226D" w:rsidRPr="00137BBC" w14:paraId="062BCF07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82E02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18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9C124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A024D9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(Adjustments for conversion to credit equivalent amounts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367A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44D63B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77F82837" w14:textId="6F1892AC" w:rsidR="0026226D" w:rsidRPr="00137BBC" w:rsidRDefault="00097D01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 xml:space="preserve"> (</w:t>
            </w:r>
            <w:r w:rsidR="001E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342</w:t>
            </w:r>
            <w:r w:rsidR="00F95B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1E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729</w:t>
            </w:r>
            <w:r w:rsidR="003B33B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)</w:t>
            </w:r>
          </w:p>
        </w:tc>
      </w:tr>
      <w:tr w:rsidR="0026226D" w:rsidRPr="00137BBC" w14:paraId="458167F8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1FB8F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19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C89B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 xml:space="preserve">Total Other </w:t>
            </w:r>
            <w:r w:rsidRPr="00A02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Off-balance sheet items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345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1D9D99D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222A0D8" w14:textId="24C3D175" w:rsidR="0026226D" w:rsidRPr="00137BBC" w:rsidRDefault="00D34CCA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1E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28</w:t>
            </w:r>
            <w:r w:rsidR="00F95B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1E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629</w:t>
            </w:r>
          </w:p>
        </w:tc>
      </w:tr>
      <w:tr w:rsidR="0026226D" w:rsidRPr="00137BBC" w14:paraId="5E30B851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6558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A90C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C2785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C25045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323599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26226D" w:rsidRPr="00137BBC" w14:paraId="096D69FD" w14:textId="77777777" w:rsidTr="00F7385D">
        <w:trPr>
          <w:gridAfter w:val="1"/>
          <w:wAfter w:w="1186" w:type="dxa"/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D9B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Capital and Total Exposure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AFBB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2189AD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4F801E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26226D" w:rsidRPr="00137BBC" w14:paraId="56B892D4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C070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20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50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sz w:val="16"/>
                <w:szCs w:val="16"/>
                <w:lang w:eastAsia="en-CA"/>
              </w:rPr>
              <w:t>Tier 1 capital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827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78A3A4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CE9F715" w14:textId="5171341D" w:rsidR="0026226D" w:rsidRPr="007840E0" w:rsidRDefault="00D34CCA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="001E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0</w:t>
            </w:r>
            <w:r w:rsidR="00F95B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C037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237</w:t>
            </w:r>
          </w:p>
        </w:tc>
      </w:tr>
      <w:tr w:rsidR="0026226D" w:rsidRPr="00137BBC" w14:paraId="2446A8B1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C3AF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20a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0BCE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Tier 1 capital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CE4A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8CDDF7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D02ECE3" w14:textId="20E34BF4" w:rsidR="0026226D" w:rsidRPr="007840E0" w:rsidRDefault="00F95B35" w:rsidP="00145773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="00E04706"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27</w:t>
            </w:r>
            <w:r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464</w:t>
            </w:r>
          </w:p>
        </w:tc>
      </w:tr>
      <w:tr w:rsidR="0026226D" w:rsidRPr="00137BBC" w14:paraId="7E93DA6C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25B41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21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394F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Total Exposures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BFF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2BB816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E611C9F" w14:textId="45F0319B" w:rsidR="0026226D" w:rsidRPr="00137BBC" w:rsidRDefault="007E3119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10,</w:t>
            </w:r>
            <w:r w:rsidR="001E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</w:t>
            </w:r>
            <w:r w:rsidR="00D047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26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D047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344</w:t>
            </w:r>
          </w:p>
        </w:tc>
      </w:tr>
      <w:tr w:rsidR="0026226D" w:rsidRPr="00137BBC" w14:paraId="3E97815A" w14:textId="77777777" w:rsidTr="00F7385D">
        <w:trPr>
          <w:gridAfter w:val="1"/>
          <w:wAfter w:w="1186" w:type="dxa"/>
          <w:trHeight w:val="18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5933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A5A8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91DB6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B05966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066B0C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26226D" w:rsidRPr="00137BBC" w14:paraId="50DB1FA6" w14:textId="77777777" w:rsidTr="00F7385D">
        <w:trPr>
          <w:gridAfter w:val="1"/>
          <w:wAfter w:w="1186" w:type="dxa"/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3E1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Leverage Ratios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3D2E3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2227B0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FD671D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26226D" w14:paraId="380DF236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5A0085" w14:textId="77777777" w:rsidR="0026226D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82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D2A04A" w14:textId="77777777" w:rsidR="0026226D" w:rsidRPr="00A024D9" w:rsidRDefault="0026226D" w:rsidP="00F7385D">
            <w:pPr>
              <w:spacing w:after="0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CA"/>
              </w:rPr>
              <w:t>Basel III Leverage Ratio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5C3D0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</w:tcPr>
          <w:p w14:paraId="209D39F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</w:tcPr>
          <w:p w14:paraId="4AC66498" w14:textId="43AA1935" w:rsidR="0026226D" w:rsidRDefault="00D34CCA" w:rsidP="005D0606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="00976A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 w:rsidR="001E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26226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</w:tr>
      <w:tr w:rsidR="0026226D" w:rsidRPr="00E04706" w14:paraId="7C02A0D6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1D70A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22a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350CE" w14:textId="77777777" w:rsidR="0026226D" w:rsidRPr="00A024D9" w:rsidRDefault="0026226D" w:rsidP="00F7385D">
            <w:pPr>
              <w:spacing w:after="0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CA"/>
              </w:rPr>
            </w:pPr>
            <w:r w:rsidRPr="00A024D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CA"/>
              </w:rPr>
              <w:t>Basel III Leverage Ratio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CA"/>
              </w:rPr>
              <w:t xml:space="preserve">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EFD53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16D270E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2242E973" w14:textId="500FB2C3" w:rsidR="0026226D" w:rsidRPr="00E04706" w:rsidRDefault="009C4974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</w:t>
            </w:r>
            <w:r w:rsidR="007840E0"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 w:rsid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26226D" w:rsidRPr="00E0470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</w:tr>
    </w:tbl>
    <w:p w14:paraId="0BE13D90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5B036EB0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2DBA4AAD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5ECFA889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5F8179DE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052D1B49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2E7C66A2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757A27A5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6A4FDA21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14700121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27E7FA00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096E8F85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718499A9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0707D904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531D223A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1FB6F89E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496C8E4E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649C160F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5307217A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539C31F7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2A35B91B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6A0B1B9F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472F824C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04A667CB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7EE8837A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3908CA05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213AEE78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6CDB4476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32DE5F06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17F04246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772B29C7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4DEEB9E4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5A5E50BE" w14:textId="77777777" w:rsidR="0026226D" w:rsidRDefault="0026226D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tbl>
      <w:tblPr>
        <w:tblpPr w:leftFromText="180" w:rightFromText="180" w:horzAnchor="margin" w:tblpY="-1440"/>
        <w:tblW w:w="11338" w:type="dxa"/>
        <w:tblLook w:val="04A0" w:firstRow="1" w:lastRow="0" w:firstColumn="1" w:lastColumn="0" w:noHBand="0" w:noVBand="1"/>
      </w:tblPr>
      <w:tblGrid>
        <w:gridCol w:w="463"/>
        <w:gridCol w:w="8212"/>
        <w:gridCol w:w="257"/>
        <w:gridCol w:w="334"/>
        <w:gridCol w:w="650"/>
        <w:gridCol w:w="236"/>
        <w:gridCol w:w="302"/>
        <w:gridCol w:w="884"/>
      </w:tblGrid>
      <w:tr w:rsidR="0026226D" w:rsidRPr="00137BBC" w14:paraId="1D930D9B" w14:textId="77777777" w:rsidTr="0041527E">
        <w:trPr>
          <w:trHeight w:val="70"/>
        </w:trPr>
        <w:tc>
          <w:tcPr>
            <w:tcW w:w="86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4C7EF5" w14:textId="77777777" w:rsidR="0026226D" w:rsidRDefault="0026226D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</w:p>
          <w:p w14:paraId="64AF7975" w14:textId="77777777" w:rsidR="0026226D" w:rsidRPr="002402F0" w:rsidRDefault="0026226D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>Concentra Trust</w:t>
            </w:r>
            <w:r w:rsidRPr="002402F0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D3727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DB2DD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79D56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FC19B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73911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2B5C5B6" w14:textId="77777777" w:rsidTr="0041527E">
        <w:trPr>
          <w:trHeight w:val="86"/>
        </w:trPr>
        <w:tc>
          <w:tcPr>
            <w:tcW w:w="86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7DC7C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  <w:r w:rsidRPr="002402F0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 xml:space="preserve">Basel III Regulatory Capital </w:t>
            </w:r>
          </w:p>
        </w:tc>
        <w:tc>
          <w:tcPr>
            <w:tcW w:w="2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505C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BE59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35EB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16822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8BF80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3140CD28" w14:textId="77777777" w:rsidTr="0041527E">
        <w:trPr>
          <w:trHeight w:val="220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82F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8815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655F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406" w:type="dxa"/>
            <w:gridSpan w:val="5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7CBBE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  <w:lang w:eastAsia="en-CA"/>
              </w:rPr>
            </w:pPr>
          </w:p>
        </w:tc>
      </w:tr>
      <w:tr w:rsidR="0026226D" w:rsidRPr="00137BBC" w14:paraId="727CBCF5" w14:textId="77777777" w:rsidTr="0041527E">
        <w:trPr>
          <w:trHeight w:val="222"/>
        </w:trPr>
        <w:tc>
          <w:tcPr>
            <w:tcW w:w="86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B3B4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($ THOUSANDS, EXCEPT PERCENTAGES)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815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5878DB8" w14:textId="6CA310C6" w:rsidR="0026226D" w:rsidRPr="00D928AD" w:rsidRDefault="000B1E09" w:rsidP="00F7385D">
            <w:pPr>
              <w:spacing w:after="0"/>
              <w:jc w:val="both"/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Q</w:t>
            </w:r>
            <w:r w:rsidR="00C802B2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4</w:t>
            </w:r>
            <w:r w:rsidR="0026226D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 xml:space="preserve"> 202</w:t>
            </w:r>
            <w:r w:rsidR="00260380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7C549EA3" w14:textId="77777777" w:rsidR="0026226D" w:rsidRPr="00137BBC" w:rsidRDefault="0026226D" w:rsidP="00F7385D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56C867" w14:textId="77777777" w:rsidR="0026226D" w:rsidRPr="00137BBC" w:rsidRDefault="0026226D" w:rsidP="00F7385D">
            <w:pPr>
              <w:spacing w:after="0"/>
              <w:jc w:val="both"/>
              <w:rPr>
                <w:rFonts w:ascii="Calibri" w:hAnsi="Calibri" w:cs="Calibri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D52F48D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sz w:val="16"/>
                <w:szCs w:val="16"/>
                <w:lang w:eastAsia="en-CA"/>
              </w:rPr>
            </w:pPr>
          </w:p>
        </w:tc>
      </w:tr>
      <w:tr w:rsidR="0026226D" w:rsidRPr="00137BBC" w14:paraId="073D7155" w14:textId="77777777" w:rsidTr="0041527E">
        <w:trPr>
          <w:trHeight w:val="193"/>
        </w:trPr>
        <w:tc>
          <w:tcPr>
            <w:tcW w:w="8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E70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Common Equity Tier 1 capital: instruments and reserves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10AA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9918B7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center"/>
            <w:hideMark/>
          </w:tcPr>
          <w:p w14:paraId="6FA05148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B3D6D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B506B9E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8E50FDE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70C4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F376" w14:textId="27051192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 xml:space="preserve">Directly issued qualifying common share capital (and equivalent for non-joint </w:t>
            </w:r>
            <w:r w:rsidR="00C97170"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stock companies</w:t>
            </w: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) plus related stock surplus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BAAB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400245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47DED01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10,000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9EDF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82B1C2F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7D1642D9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747E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82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CC2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Retained earnings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8EFD5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2997C9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54CCCF4" w14:textId="67ACF3DC" w:rsidR="0026226D" w:rsidRPr="00137BBC" w:rsidRDefault="00C802B2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10</w:t>
            </w:r>
            <w:r w:rsidR="00E657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634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5F63F0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C89C9F9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481DAC9C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F8687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3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8C116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Accumulated other comprehensive income (and other reserves)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042CE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0C3A7CF2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3AD81526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B0265A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6BC127B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356504FF" w14:textId="77777777" w:rsidTr="0041527E">
        <w:trPr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3B1CB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87969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Common Equity Tier 1 capital before regulatory adjustments</w:t>
            </w: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6819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0A37676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0A860467" w14:textId="4244230A" w:rsidR="0026226D" w:rsidRPr="00137BBC" w:rsidRDefault="00C802B2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20</w:t>
            </w:r>
            <w:r w:rsidR="00E657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634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63A92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45E014F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26A50651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878B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E8B1" w14:textId="77777777" w:rsidR="0026226D" w:rsidRPr="00137BBC" w:rsidRDefault="0026226D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C9840" w14:textId="77777777" w:rsidR="0026226D" w:rsidRPr="00137BBC" w:rsidRDefault="0026226D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2E9DA2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063747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7F90F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F9A89C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0E40D519" w14:textId="77777777" w:rsidTr="0041527E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158A" w14:textId="77777777" w:rsidR="0026226D" w:rsidRPr="00C27AAE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 xml:space="preserve">Common Equity Tier 1 capital: regulatory </w:t>
            </w:r>
            <w:proofErr w:type="gramStart"/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adjustments</w:t>
            </w:r>
            <w:r w:rsidR="00C27A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  <w:t>(</w:t>
            </w:r>
            <w:proofErr w:type="gramEnd"/>
            <w:r w:rsidR="00C27A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  <w:t>1)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706E1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D4FC4FA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844592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C043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ADA2817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6011FEF3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7E97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28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560EB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 xml:space="preserve">Total regulatory adjustments to Common Equity Tier 1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C6CC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E3E7F7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5EADB028" w14:textId="0063A058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(</w:t>
            </w:r>
            <w:r w:rsidR="002603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C802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</w:t>
            </w:r>
            <w:r w:rsidR="002E33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</w:t>
            </w: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)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4BCEE4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F4CCAEF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50C503B" w14:textId="77777777" w:rsidTr="0041527E">
        <w:trPr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E9F19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29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A4E5D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Common Equity Tier 1 capital (CET1)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CF5D0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F6F16F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13D0B283" w14:textId="3D20E345" w:rsidR="0026226D" w:rsidRPr="00137BBC" w:rsidRDefault="00C802B2" w:rsidP="007840E0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20</w:t>
            </w:r>
            <w:r w:rsidR="00DB39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49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5D08A8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421F04C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26226D" w:rsidRPr="00137BBC" w14:paraId="10EB3B56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E98E4" w14:textId="77777777" w:rsidR="0026226D" w:rsidRPr="00137BBC" w:rsidRDefault="0026226D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29a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C11CE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Common Equity Tier 1 capital (CET1)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407C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65AD4D3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5A38EB3" w14:textId="7FC69050" w:rsidR="0026226D" w:rsidRPr="00137BBC" w:rsidRDefault="00AF0C67" w:rsidP="007840E0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20</w:t>
            </w:r>
            <w:r w:rsidR="00DB3969" w:rsidRP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496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A64005" w14:textId="77777777" w:rsidR="0026226D" w:rsidRPr="00137BBC" w:rsidRDefault="0026226D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AF2D53C" w14:textId="77777777" w:rsidR="0026226D" w:rsidRPr="00137BBC" w:rsidRDefault="0026226D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41527E" w:rsidRPr="00137BBC" w14:paraId="4E6A7102" w14:textId="77777777" w:rsidTr="0041527E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0123C" w14:textId="77777777" w:rsidR="0041527E" w:rsidRDefault="0041527E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83FEB" w14:textId="77777777" w:rsidR="0041527E" w:rsidRPr="00137BBC" w:rsidRDefault="0041527E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</w:tcPr>
          <w:p w14:paraId="3818F616" w14:textId="77777777" w:rsidR="0041527E" w:rsidRPr="00137BBC" w:rsidRDefault="0041527E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</w:tcPr>
          <w:p w14:paraId="30A56A0F" w14:textId="77777777" w:rsidR="0041527E" w:rsidRPr="00137BBC" w:rsidRDefault="0041527E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2808A" w14:textId="77777777" w:rsidR="0041527E" w:rsidRPr="00137BBC" w:rsidRDefault="0041527E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06A05BA" w14:textId="77777777" w:rsidR="0041527E" w:rsidRPr="00137BBC" w:rsidRDefault="0041527E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41527E" w:rsidRPr="00137BBC" w14:paraId="4921F216" w14:textId="77777777" w:rsidTr="0041527E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E3BA8" w14:textId="77777777" w:rsidR="0041527E" w:rsidRPr="00137BBC" w:rsidRDefault="0041527E" w:rsidP="004152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Additional Tier 1 capital: regulatory adjustments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38561" w14:textId="77777777" w:rsidR="0041527E" w:rsidRPr="00137BBC" w:rsidRDefault="0041527E" w:rsidP="004152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</w:tcPr>
          <w:p w14:paraId="3CE0C2EA" w14:textId="77777777" w:rsidR="0041527E" w:rsidRPr="00137BBC" w:rsidRDefault="0041527E" w:rsidP="004152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</w:tcPr>
          <w:p w14:paraId="15A25B55" w14:textId="77777777" w:rsidR="0041527E" w:rsidRPr="00137BBC" w:rsidRDefault="0041527E" w:rsidP="004152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69AEE" w14:textId="77777777" w:rsidR="0041527E" w:rsidRPr="00137BBC" w:rsidRDefault="0041527E" w:rsidP="004152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CC26823" w14:textId="77777777" w:rsidR="0041527E" w:rsidRPr="00137BBC" w:rsidRDefault="0041527E" w:rsidP="0041527E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6A6C3B36" w14:textId="77777777" w:rsidTr="001605EC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11B12" w14:textId="2ADEB7B8" w:rsidR="007606FB" w:rsidRPr="00137BBC" w:rsidRDefault="007606FB" w:rsidP="007606FB">
            <w:pPr>
              <w:spacing w:after="0"/>
              <w:rPr>
                <w:rFonts w:ascii="Calibri" w:hAnsi="Calibri" w:cs="Calibri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sz w:val="16"/>
                <w:szCs w:val="16"/>
                <w:lang w:eastAsia="en-CA"/>
              </w:rPr>
              <w:t xml:space="preserve"> 43       </w:t>
            </w:r>
            <w:r w:rsidRPr="00137BBC">
              <w:rPr>
                <w:rFonts w:ascii="Calibri" w:hAnsi="Calibri" w:cs="Calibri"/>
                <w:sz w:val="16"/>
                <w:szCs w:val="16"/>
                <w:lang w:eastAsia="en-CA"/>
              </w:rPr>
              <w:t xml:space="preserve">Total regulatory adjustments </w:t>
            </w:r>
            <w:r w:rsidR="00C97170" w:rsidRPr="00137BBC">
              <w:rPr>
                <w:rFonts w:ascii="Calibri" w:hAnsi="Calibri" w:cs="Calibri"/>
                <w:sz w:val="16"/>
                <w:szCs w:val="16"/>
                <w:lang w:eastAsia="en-CA"/>
              </w:rPr>
              <w:t>to Additional</w:t>
            </w:r>
            <w:r w:rsidRPr="00137BBC">
              <w:rPr>
                <w:rFonts w:ascii="Calibri" w:hAnsi="Calibri" w:cs="Calibri"/>
                <w:sz w:val="16"/>
                <w:szCs w:val="16"/>
                <w:lang w:eastAsia="en-CA"/>
              </w:rPr>
              <w:t xml:space="preserve"> Tier 1 capital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85CA6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</w:tcPr>
          <w:p w14:paraId="6A5747B6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</w:tcPr>
          <w:p w14:paraId="3166F12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 xml:space="preserve">                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F1FF1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1B93D29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2612D3FE" w14:textId="77777777" w:rsidTr="007606FB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8876B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 xml:space="preserve"> 44       </w:t>
            </w: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Additional Tier 1 capital (AT1)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FF6EE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</w:tcPr>
          <w:p w14:paraId="4110C0E2" w14:textId="77777777" w:rsidR="007606FB" w:rsidRPr="007606FB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</w:tcPr>
          <w:p w14:paraId="3AC46F53" w14:textId="77777777" w:rsidR="007606FB" w:rsidRPr="007606FB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 xml:space="preserve">                </w:t>
            </w:r>
            <w:r w:rsidRPr="007606F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F9919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ED114AC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571943FA" w14:textId="77777777" w:rsidTr="007606FB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B720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7D3940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CA"/>
              </w:rPr>
              <w:t>45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 xml:space="preserve">       </w:t>
            </w: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Tier 1 capital (T1 = CET1 + AT1)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1ECE1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</w:tcPr>
          <w:p w14:paraId="1C593D0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</w:tcPr>
          <w:p w14:paraId="2686B505" w14:textId="042E6319" w:rsidR="007606FB" w:rsidRPr="00137BBC" w:rsidRDefault="00C802B2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20</w:t>
            </w:r>
            <w:r w:rsidR="007606F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49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B503E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A222AE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5382EC97" w14:textId="77777777" w:rsidTr="0041527E">
        <w:trPr>
          <w:trHeight w:val="193"/>
        </w:trPr>
        <w:tc>
          <w:tcPr>
            <w:tcW w:w="8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51B4B1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7D3940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CA"/>
              </w:rPr>
              <w:t>45a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 xml:space="preserve">     </w:t>
            </w: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Tier 1 capital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DF98F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</w:tcPr>
          <w:p w14:paraId="6DABEE8A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</w:tcPr>
          <w:p w14:paraId="77EB0D41" w14:textId="3499ABFB" w:rsidR="007606FB" w:rsidRPr="00137BBC" w:rsidRDefault="00AF0C67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20</w:t>
            </w:r>
            <w:r w:rsidR="00DE7BD2" w:rsidRP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496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870D3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BD0C0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2E2C658B" w14:textId="77777777" w:rsidTr="0041527E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2F5A" w14:textId="77777777" w:rsidR="007606FB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14:paraId="08146903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Tier 2 capital: instruments and allowances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D5F5A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60FA93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1DB21DB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EB2F7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F14707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308FD4F2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622E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50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730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Collective allowances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F9D3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3202FF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4DDB614" w14:textId="418C76C0" w:rsidR="007606FB" w:rsidRPr="00137BBC" w:rsidRDefault="00AF0C67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F0DCF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8E1914B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05339EC7" w14:textId="77777777" w:rsidTr="0041527E">
        <w:trPr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91492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51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6D18C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Tier 2 capital before regulatory adjustments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1BDA7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0EB588B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5497352" w14:textId="5A15201C" w:rsidR="007606FB" w:rsidRPr="00137BBC" w:rsidRDefault="00AF0C67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D9F12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D0508E9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5DC69968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DA63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D43E" w14:textId="77777777" w:rsidR="007606FB" w:rsidRPr="00137BBC" w:rsidRDefault="007606FB" w:rsidP="007606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724EA" w14:textId="77777777" w:rsidR="007606FB" w:rsidRPr="00137BBC" w:rsidRDefault="007606FB" w:rsidP="007606FB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A700F68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80BDFE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A4418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B32FAA7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35CFA6D5" w14:textId="77777777" w:rsidTr="0041527E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0239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Tier 2 capital: regulatory adjustments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A1D93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ECD5436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6248438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121B3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AA6A334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486142AB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01E8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58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61AE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Tier 2 capital (T2)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26F2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5BFDCBA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C839B11" w14:textId="2B6ABEB2" w:rsidR="007606FB" w:rsidRPr="00137BBC" w:rsidRDefault="00AF0C67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E0D0AB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EB1DC67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77E2AB09" w14:textId="77777777" w:rsidTr="0041527E">
        <w:trPr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77F7F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59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3222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Total capital (TC = T1 +T2)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0EA2E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FD4EEA1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56D38382" w14:textId="1998B666" w:rsidR="007606FB" w:rsidRPr="00137BBC" w:rsidRDefault="00AF0C67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20</w:t>
            </w:r>
            <w:r w:rsidR="007606F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496</w:t>
            </w: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68F729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4DE86B5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1D87B5B8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87DF1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59a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46231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Total capital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7AAE6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1B3FCC3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50F4C26B" w14:textId="54789DC5" w:rsidR="007606FB" w:rsidRPr="00AF0C67" w:rsidRDefault="00AF0C67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20</w:t>
            </w:r>
            <w:r w:rsidR="009C4974" w:rsidRP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496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D36D31" w14:textId="77777777" w:rsidR="007606FB" w:rsidRPr="00AF0C67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210E756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0AEBD3BF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27C3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4E76" w14:textId="77777777" w:rsidR="007606FB" w:rsidRPr="00137BBC" w:rsidRDefault="007606FB" w:rsidP="007606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F0FD" w14:textId="77777777" w:rsidR="007606FB" w:rsidRPr="00137BBC" w:rsidRDefault="007606FB" w:rsidP="007606FB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C30F7E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DA1F74F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96E9C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E35398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1AF2BF48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FDC3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60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DE3C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Total risk-weighted assets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766B6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6CC0F76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D79F64F" w14:textId="27A079BB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239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B29B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AAD0703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61E8AE06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E1AE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B6B6" w14:textId="77777777" w:rsidR="007606FB" w:rsidRPr="00137BBC" w:rsidRDefault="007606FB" w:rsidP="007606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45089" w14:textId="77777777" w:rsidR="007606FB" w:rsidRPr="00137BBC" w:rsidRDefault="007606FB" w:rsidP="007606FB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582919B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D18A84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C4B6A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AE5EE02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006677AA" w14:textId="77777777" w:rsidTr="0041527E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FA37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Capital ratios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3E83E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20191A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13E7D21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3285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23E704A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7BC5383E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71BF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61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A70B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Common Equity Tier 1 (as a percentage of risk-weighted assets)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E469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C45B59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9533871" w14:textId="5E37606D" w:rsidR="007606FB" w:rsidRPr="00137BBC" w:rsidRDefault="00FE3244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7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</w:t>
            </w:r>
            <w:r w:rsidR="007606F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7606FB"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92CCF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D28A816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134AD570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A413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61a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48F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CET1 Ratio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6F4D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67AC6C6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F287365" w14:textId="477199CD" w:rsidR="007606FB" w:rsidRPr="00137BBC" w:rsidRDefault="00FE3244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56B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7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</w:t>
            </w:r>
            <w:r w:rsidR="007606FB" w:rsidRPr="00856B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7606FB" w:rsidRPr="00856B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FBEE2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BAAD218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616A73E6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E0C3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62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5FB9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Tier 1 (as a percentage of risk-weighted assets)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0F9A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F796727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F7725B2" w14:textId="0E1D4215" w:rsidR="007606FB" w:rsidRPr="00137BBC" w:rsidRDefault="00FE3244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7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</w:t>
            </w:r>
            <w:r w:rsidR="007606F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7606FB"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E1866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12AC8EA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33F15407" w14:textId="77777777" w:rsidTr="0041527E">
        <w:trPr>
          <w:trHeight w:val="62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35EB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62a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44DF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Tier 1 Capital Ratio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10A4F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FA556BC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4FD428F" w14:textId="580C7808" w:rsidR="007606FB" w:rsidRPr="00137BBC" w:rsidRDefault="00FE3244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56B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7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</w:t>
            </w:r>
            <w:r w:rsidR="007606FB" w:rsidRPr="00856B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7606FB" w:rsidRPr="00856B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F671A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55333A7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2C207305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5986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63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406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Total capital (as a percentage of risk-weighted assets)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65C6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EF461E4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05C4CB0" w14:textId="35F7C3A0" w:rsidR="007606FB" w:rsidRPr="00137BBC" w:rsidRDefault="00FE3244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7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</w:t>
            </w:r>
            <w:r w:rsidR="007606F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7606FB"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6A73F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47AF546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0E327B76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5291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63a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7704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Total Capital Ratio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FB57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BB23882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F2E7A43" w14:textId="5749F6FF" w:rsidR="007606FB" w:rsidRPr="00137BBC" w:rsidRDefault="00FE3244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56B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7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</w:t>
            </w:r>
            <w:r w:rsidR="007606FB" w:rsidRPr="00856B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7606FB" w:rsidRPr="00856B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54E88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D728A5A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26442CB4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0C66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772E" w14:textId="77777777" w:rsidR="007606FB" w:rsidRPr="00137BBC" w:rsidRDefault="007606FB" w:rsidP="007606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FD62F" w14:textId="77777777" w:rsidR="007606FB" w:rsidRPr="00137BBC" w:rsidRDefault="007606FB" w:rsidP="007606FB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628A4F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04C593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663A7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C29AFA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1B5570BD" w14:textId="77777777" w:rsidTr="0041527E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AE1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OSFI all-in target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B554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F32FD87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234E621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D61C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94C9DFB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14E43972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D23C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69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1DE4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Common Equity Tier 1 capital all-in target ratio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F825A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3389E53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E1E91A5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7.0%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64953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2F7BB96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4E0F5791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76A0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70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920B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Tier 1 capital all-in target ratio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2997E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7F76D63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A2C370B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8.5%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89728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4DBC488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4A248B22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3E6D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71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B2E4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Total capital all-in target ratio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D9FC1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186A187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4EF9FF8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10.5%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8C475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1F5B4C5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7978273B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7F93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34A6" w14:textId="77777777" w:rsidR="007606FB" w:rsidRPr="00137BBC" w:rsidRDefault="007606FB" w:rsidP="007606FB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7CBA" w14:textId="77777777" w:rsidR="007606FB" w:rsidRPr="00137BBC" w:rsidRDefault="007606FB" w:rsidP="007606FB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092BCCC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861A4B1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7F83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F913C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61DB91BD" w14:textId="77777777" w:rsidTr="0041527E">
        <w:trPr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0B41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Capital instruments subject to phase-out arrangements (only applicable between 1 Jan 2013 and 1 Jan 2022)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A8A2A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8434706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8087BE3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56A9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57D6E3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2995F064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E03E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80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8989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Current cap on CET1 instruments subject to phase out arrangements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60C88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AABAD5A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726178E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295D4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1AA76D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5CD4D896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0677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81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F0C6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Amounts excluded from CET1 due to cap (excess over cap after redemptions and maturities)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9CB59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AAAF310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B3BB5EF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F54E3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32851BF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78B56299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E847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82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DA4F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Current cap on AT1 instruments subject to phase out arrangements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005E8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0AF5CC4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286899E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A5801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AEEDD87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5AD4CCFA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90A0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83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2C82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Amounts excluded from AT1 due to cap (excess over cap after redemptions and maturities)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13DA9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2474C59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4489E8A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6F46B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D0B7002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5EB5D36A" w14:textId="77777777" w:rsidTr="0041527E">
        <w:trPr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6667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84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5BD5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Current cap on T2 instruments subject to phase out arrangements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8A8C3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FBF0506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E309C42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78217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1769EC6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7606FB" w:rsidRPr="00137BBC" w14:paraId="5810557C" w14:textId="77777777" w:rsidTr="0041527E">
        <w:trPr>
          <w:trHeight w:val="62"/>
        </w:trPr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C8046" w14:textId="77777777" w:rsidR="007606FB" w:rsidRPr="00137BBC" w:rsidRDefault="007606FB" w:rsidP="007606FB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85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1AD16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Amounts excluded from T2 due to cap (excess over cap after redemptions and maturities)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69EC8D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0DA4AE13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9A3"/>
            <w:noWrap/>
            <w:vAlign w:val="center"/>
            <w:hideMark/>
          </w:tcPr>
          <w:p w14:paraId="01B6C202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-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3D758E" w14:textId="77777777" w:rsidR="007606FB" w:rsidRPr="00137BBC" w:rsidRDefault="007606FB" w:rsidP="007606F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FD3B695" w14:textId="77777777" w:rsidR="007606FB" w:rsidRPr="00137BBC" w:rsidRDefault="007606FB" w:rsidP="007606FB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</w:tbl>
    <w:p w14:paraId="05AC4A58" w14:textId="3E65D3DF" w:rsidR="0026226D" w:rsidRDefault="0026226D" w:rsidP="00C27AAE">
      <w:pPr>
        <w:spacing w:after="0"/>
        <w:rPr>
          <w:rFonts w:cs="Segoe UI"/>
          <w:i/>
          <w:iCs/>
          <w:color w:val="000000"/>
          <w:sz w:val="14"/>
          <w:szCs w:val="14"/>
        </w:rPr>
      </w:pPr>
      <w:r w:rsidRPr="00AB6EE2">
        <w:rPr>
          <w:rFonts w:cs="Segoe UI"/>
          <w:i/>
          <w:iCs/>
          <w:color w:val="000000"/>
          <w:sz w:val="14"/>
          <w:szCs w:val="14"/>
        </w:rPr>
        <w:t>(</w:t>
      </w:r>
      <w:r>
        <w:rPr>
          <w:rFonts w:cs="Segoe UI"/>
          <w:i/>
          <w:iCs/>
          <w:color w:val="000000"/>
          <w:sz w:val="14"/>
          <w:szCs w:val="14"/>
        </w:rPr>
        <w:t>1</w:t>
      </w:r>
      <w:r w:rsidRPr="00AB6EE2">
        <w:rPr>
          <w:rFonts w:cs="Segoe UI"/>
          <w:i/>
          <w:iCs/>
          <w:color w:val="000000"/>
          <w:sz w:val="14"/>
          <w:szCs w:val="14"/>
        </w:rPr>
        <w:t xml:space="preserve">) The regulatory adjustments include </w:t>
      </w:r>
      <w:r>
        <w:rPr>
          <w:rFonts w:cs="Segoe UI"/>
          <w:i/>
          <w:iCs/>
          <w:color w:val="000000"/>
          <w:sz w:val="14"/>
          <w:szCs w:val="14"/>
        </w:rPr>
        <w:t>intangible assets</w:t>
      </w:r>
      <w:r w:rsidR="00C27AAE">
        <w:rPr>
          <w:rFonts w:cs="Segoe UI"/>
          <w:i/>
          <w:iCs/>
          <w:color w:val="000000"/>
          <w:sz w:val="14"/>
          <w:szCs w:val="14"/>
        </w:rPr>
        <w:t>.</w:t>
      </w:r>
      <w:r w:rsidR="007B5E3C">
        <w:rPr>
          <w:rFonts w:cs="Segoe UI"/>
          <w:i/>
          <w:iCs/>
          <w:color w:val="000000"/>
          <w:sz w:val="14"/>
          <w:szCs w:val="14"/>
        </w:rPr>
        <w:t xml:space="preserve">  </w:t>
      </w:r>
      <w:r w:rsidR="00FE24F2" w:rsidRPr="00FE24F2">
        <w:rPr>
          <w:rFonts w:cs="Segoe UI"/>
          <w:i/>
          <w:iCs/>
          <w:color w:val="000000"/>
          <w:sz w:val="14"/>
          <w:szCs w:val="14"/>
        </w:rPr>
        <w:t xml:space="preserve">The Office of the Superintendent of Financial Institutions Canada (OSFI) introduced expected loss provisioning transitional arrangements for capital treatment allowing a portion of eligible allowances to be included in CET1 instead of Tier 2 capital on a transitional basis commencing in 2020 through to 2022. This adjustment is calculated each quarter as the increase in Stage 1 and Stage 2 allowances relative to the amount of Stage 1 and Stage 2 allowances as </w:t>
      </w:r>
      <w:proofErr w:type="gramStart"/>
      <w:r w:rsidR="00FE24F2" w:rsidRPr="00FE24F2">
        <w:rPr>
          <w:rFonts w:cs="Segoe UI"/>
          <w:i/>
          <w:iCs/>
          <w:color w:val="000000"/>
          <w:sz w:val="14"/>
          <w:szCs w:val="14"/>
        </w:rPr>
        <w:t>at</w:t>
      </w:r>
      <w:proofErr w:type="gramEnd"/>
      <w:r w:rsidR="00FE24F2" w:rsidRPr="00FE24F2">
        <w:rPr>
          <w:rFonts w:cs="Segoe UI"/>
          <w:i/>
          <w:iCs/>
          <w:color w:val="000000"/>
          <w:sz w:val="14"/>
          <w:szCs w:val="14"/>
        </w:rPr>
        <w:t xml:space="preserve"> December 31, 2019. This increased amount is tax adjusted and subject to a scaling factor that will decrease over time. The scaling factor to be applied is 70% for 2020, 50% for 2021 and 25% for 2022. The Company applied a scaling factor of </w:t>
      </w:r>
      <w:r w:rsidR="00F47060">
        <w:rPr>
          <w:rFonts w:cs="Segoe UI"/>
          <w:i/>
          <w:iCs/>
          <w:color w:val="000000"/>
          <w:sz w:val="14"/>
          <w:szCs w:val="14"/>
        </w:rPr>
        <w:t>25</w:t>
      </w:r>
      <w:r w:rsidR="00FE24F2" w:rsidRPr="00FE24F2">
        <w:rPr>
          <w:rFonts w:cs="Segoe UI"/>
          <w:i/>
          <w:iCs/>
          <w:color w:val="000000"/>
          <w:sz w:val="14"/>
          <w:szCs w:val="14"/>
        </w:rPr>
        <w:t>% for Q</w:t>
      </w:r>
      <w:r w:rsidR="00AF0C67">
        <w:rPr>
          <w:rFonts w:cs="Segoe UI"/>
          <w:i/>
          <w:iCs/>
          <w:color w:val="000000"/>
          <w:sz w:val="14"/>
          <w:szCs w:val="14"/>
        </w:rPr>
        <w:t>4</w:t>
      </w:r>
      <w:r w:rsidR="00FE24F2" w:rsidRPr="00FE24F2">
        <w:rPr>
          <w:rFonts w:cs="Segoe UI"/>
          <w:i/>
          <w:iCs/>
          <w:color w:val="000000"/>
          <w:sz w:val="14"/>
          <w:szCs w:val="14"/>
        </w:rPr>
        <w:t xml:space="preserve"> 202</w:t>
      </w:r>
      <w:r w:rsidR="00F47060">
        <w:rPr>
          <w:rFonts w:cs="Segoe UI"/>
          <w:i/>
          <w:iCs/>
          <w:color w:val="000000"/>
          <w:sz w:val="14"/>
          <w:szCs w:val="14"/>
        </w:rPr>
        <w:t>2</w:t>
      </w:r>
      <w:r w:rsidR="00FE24F2" w:rsidRPr="00FE24F2">
        <w:rPr>
          <w:rFonts w:cs="Segoe UI"/>
          <w:i/>
          <w:iCs/>
          <w:color w:val="000000"/>
          <w:sz w:val="14"/>
          <w:szCs w:val="14"/>
        </w:rPr>
        <w:t xml:space="preserve">.  </w:t>
      </w:r>
    </w:p>
    <w:p w14:paraId="3DACD2B5" w14:textId="77777777" w:rsidR="006F5B00" w:rsidRDefault="006F5B00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2A1C4132" w14:textId="77777777" w:rsidR="006F5B00" w:rsidRDefault="006F5B00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18FDF408" w14:textId="77777777" w:rsidR="006F5B00" w:rsidRDefault="006F5B00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61879AB7" w14:textId="77777777" w:rsidR="006F5B00" w:rsidRDefault="006F5B00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2A474715" w14:textId="77777777" w:rsidR="006F5B00" w:rsidRDefault="006F5B00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0B7EB9FD" w14:textId="77777777" w:rsidR="006F5B00" w:rsidRDefault="006F5B00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17B1CBB8" w14:textId="77777777" w:rsidR="006F5B00" w:rsidRDefault="006F5B00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p w14:paraId="1AE11D26" w14:textId="77777777" w:rsidR="006F5B00" w:rsidRDefault="006F5B00" w:rsidP="00DF3A01">
      <w:pPr>
        <w:autoSpaceDE w:val="0"/>
        <w:autoSpaceDN w:val="0"/>
        <w:adjustRightInd w:val="0"/>
        <w:spacing w:after="0"/>
        <w:ind w:left="-547"/>
        <w:contextualSpacing/>
        <w:rPr>
          <w:rFonts w:cs="Arial"/>
          <w:b/>
        </w:rPr>
      </w:pPr>
    </w:p>
    <w:tbl>
      <w:tblPr>
        <w:tblpPr w:leftFromText="180" w:rightFromText="180" w:horzAnchor="margin" w:tblpY="-1440"/>
        <w:tblW w:w="11368" w:type="dxa"/>
        <w:tblLook w:val="04A0" w:firstRow="1" w:lastRow="0" w:firstColumn="1" w:lastColumn="0" w:noHBand="0" w:noVBand="1"/>
      </w:tblPr>
      <w:tblGrid>
        <w:gridCol w:w="463"/>
        <w:gridCol w:w="8212"/>
        <w:gridCol w:w="257"/>
        <w:gridCol w:w="302"/>
        <w:gridCol w:w="695"/>
        <w:gridCol w:w="253"/>
        <w:gridCol w:w="1186"/>
      </w:tblGrid>
      <w:tr w:rsidR="006F5B00" w:rsidRPr="00137BBC" w14:paraId="1F82BE3E" w14:textId="77777777" w:rsidTr="00F7385D">
        <w:trPr>
          <w:gridAfter w:val="1"/>
          <w:wAfter w:w="1186" w:type="dxa"/>
          <w:trHeight w:val="70"/>
        </w:trPr>
        <w:tc>
          <w:tcPr>
            <w:tcW w:w="86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280356" w14:textId="77777777" w:rsidR="006F5B00" w:rsidRDefault="006F5B00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</w:p>
          <w:p w14:paraId="1F14CD7D" w14:textId="77777777" w:rsidR="006F5B00" w:rsidRPr="002402F0" w:rsidRDefault="006F5B00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>Concentra Trust</w:t>
            </w:r>
            <w:r w:rsidRPr="002402F0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1C06AE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392BFC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59363E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</w:tr>
      <w:tr w:rsidR="006F5B00" w:rsidRPr="00137BBC" w14:paraId="16F0A52F" w14:textId="77777777" w:rsidTr="00F7385D">
        <w:trPr>
          <w:gridAfter w:val="1"/>
          <w:wAfter w:w="1186" w:type="dxa"/>
          <w:trHeight w:val="86"/>
        </w:trPr>
        <w:tc>
          <w:tcPr>
            <w:tcW w:w="86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C92291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>Leverage Ratio</w:t>
            </w:r>
            <w:r w:rsidRPr="002402F0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2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010E8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3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57469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94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FE212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6F5B00" w:rsidRPr="00137BBC" w14:paraId="04DF0A4E" w14:textId="77777777" w:rsidTr="00F7385D">
        <w:trPr>
          <w:trHeight w:val="220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AAFB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2DC9" w14:textId="77777777" w:rsidR="006F5B00" w:rsidRPr="00137BBC" w:rsidRDefault="006F5B00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4040" w14:textId="77777777" w:rsidR="006F5B00" w:rsidRPr="00137BBC" w:rsidRDefault="006F5B00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436" w:type="dxa"/>
            <w:gridSpan w:val="4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4FB4FC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  <w:lang w:eastAsia="en-CA"/>
              </w:rPr>
            </w:pPr>
          </w:p>
        </w:tc>
      </w:tr>
      <w:tr w:rsidR="006F5B00" w:rsidRPr="00137BBC" w14:paraId="60A80BAC" w14:textId="77777777" w:rsidTr="00F7385D">
        <w:trPr>
          <w:gridAfter w:val="1"/>
          <w:wAfter w:w="1186" w:type="dxa"/>
          <w:trHeight w:val="222"/>
        </w:trPr>
        <w:tc>
          <w:tcPr>
            <w:tcW w:w="86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B153E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($ THOUSANDS, EXCEPT PERCENTAGES)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F399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78AFE2A9" w14:textId="72044DE6" w:rsidR="006F5B00" w:rsidRPr="00137BBC" w:rsidRDefault="00947630" w:rsidP="00DB3969">
            <w:pPr>
              <w:spacing w:after="0"/>
              <w:jc w:val="both"/>
              <w:rPr>
                <w:rFonts w:ascii="Calibri" w:hAnsi="Calibri" w:cs="Calibri"/>
                <w:sz w:val="16"/>
                <w:szCs w:val="16"/>
                <w:lang w:eastAsia="en-CA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Q</w:t>
            </w:r>
            <w:r w:rsidR="00AF0C67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4</w:t>
            </w:r>
            <w:r w:rsidR="006F5B00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 xml:space="preserve"> 202</w:t>
            </w:r>
            <w:r w:rsidR="00F47060">
              <w:rPr>
                <w:rFonts w:ascii="Calibri" w:hAnsi="Calibri"/>
                <w:b/>
                <w:bCs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0E976270" w14:textId="77777777" w:rsidR="006F5B00" w:rsidRPr="00137BBC" w:rsidRDefault="006F5B00" w:rsidP="00F7385D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  <w:lang w:eastAsia="en-CA"/>
              </w:rPr>
            </w:pPr>
          </w:p>
        </w:tc>
      </w:tr>
      <w:tr w:rsidR="006F5B00" w:rsidRPr="00137BBC" w14:paraId="6BDEBB0F" w14:textId="77777777" w:rsidTr="00F7385D">
        <w:trPr>
          <w:gridAfter w:val="1"/>
          <w:wAfter w:w="1186" w:type="dxa"/>
          <w:trHeight w:val="193"/>
        </w:trPr>
        <w:tc>
          <w:tcPr>
            <w:tcW w:w="8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AD09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232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On-balance sheet exposures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F0D28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9A89E08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center"/>
            <w:hideMark/>
          </w:tcPr>
          <w:p w14:paraId="54C38554" w14:textId="77777777" w:rsidR="006F5B00" w:rsidRPr="00137BBC" w:rsidRDefault="006F5B00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6F5B00" w:rsidRPr="00137BBC" w14:paraId="54677BE5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1C98" w14:textId="77777777" w:rsidR="006F5B00" w:rsidRPr="00137BBC" w:rsidRDefault="006F5B00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CDA8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423280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On-balance sheet items (excluding derivatives, SFT’s and grandfathered securitization exposures but including collateral)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8917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1A1EFC6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1C787685" w14:textId="3250F19F" w:rsidR="006F5B00" w:rsidRPr="00137BBC" w:rsidRDefault="00B33E5E" w:rsidP="00DB396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513</w:t>
            </w:r>
          </w:p>
        </w:tc>
      </w:tr>
      <w:tr w:rsidR="006F5B00" w:rsidRPr="00137BBC" w14:paraId="2A036B0A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8E725" w14:textId="77777777" w:rsidR="006F5B00" w:rsidRPr="00137BBC" w:rsidRDefault="006F5B00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4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83FF2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 w:rsidRPr="00423280"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(Asset amounts deducted in determining Tier 1 capital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)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DA0806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3B72913E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353AC0CE" w14:textId="79DBABEB" w:rsidR="006F5B00" w:rsidRPr="00137BBC" w:rsidRDefault="00DB3969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(</w:t>
            </w:r>
            <w:r w:rsidR="00F4706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</w:t>
            </w:r>
            <w:r w:rsidR="002E334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8</w:t>
            </w:r>
            <w:r w:rsidR="006F5B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)</w:t>
            </w:r>
          </w:p>
        </w:tc>
      </w:tr>
      <w:tr w:rsidR="006F5B00" w:rsidRPr="00137BBC" w14:paraId="2556C508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E2E0E" w14:textId="77777777" w:rsidR="006F5B00" w:rsidRPr="00137BBC" w:rsidRDefault="006F5B00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5</w:t>
            </w:r>
          </w:p>
        </w:tc>
        <w:tc>
          <w:tcPr>
            <w:tcW w:w="8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9BD9A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2328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Total on-balance sheet exposures (excluding derivatives and SFTs)</w:t>
            </w: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BBA14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07E51C7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49142831" w14:textId="073AB670" w:rsidR="006F5B00" w:rsidRPr="00137BBC" w:rsidRDefault="00B33E5E" w:rsidP="00DB396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375</w:t>
            </w:r>
          </w:p>
        </w:tc>
      </w:tr>
      <w:tr w:rsidR="006F5B00" w:rsidRPr="00137BBC" w14:paraId="7EA9609B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8699" w14:textId="77777777" w:rsidR="006F5B00" w:rsidRPr="00137BBC" w:rsidRDefault="006F5B00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4205" w14:textId="77777777" w:rsidR="006F5B00" w:rsidRPr="00137BBC" w:rsidRDefault="006F5B00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29A9F" w14:textId="77777777" w:rsidR="006F5B00" w:rsidRPr="00137BBC" w:rsidRDefault="006F5B00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6D2B9AD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6D29FBAF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6F5B00" w:rsidRPr="00137BBC" w14:paraId="046F5B1F" w14:textId="77777777" w:rsidTr="00F7385D">
        <w:trPr>
          <w:gridAfter w:val="1"/>
          <w:wAfter w:w="1186" w:type="dxa"/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1A36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Capital and Total Exposure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665DA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E6E4D09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88E4163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6F5B00" w:rsidRPr="00137BBC" w14:paraId="7D66CBAC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53F5" w14:textId="77777777" w:rsidR="006F5B00" w:rsidRPr="00137BBC" w:rsidRDefault="006F5B00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20</w:t>
            </w: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B17A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sz w:val="16"/>
                <w:szCs w:val="16"/>
                <w:lang w:eastAsia="en-CA"/>
              </w:rPr>
              <w:t>Tier 1 capital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5623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507234C3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485EF195" w14:textId="04F34C13" w:rsidR="006F5B00" w:rsidRPr="00137BBC" w:rsidRDefault="00AF0C67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CA"/>
              </w:rPr>
              <w:t>20</w:t>
            </w:r>
            <w:r w:rsidR="00B33E5E">
              <w:rPr>
                <w:rFonts w:ascii="Calibri" w:hAnsi="Calibri" w:cs="Calibri"/>
                <w:b/>
                <w:bCs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CA"/>
              </w:rPr>
              <w:t>496</w:t>
            </w:r>
          </w:p>
        </w:tc>
      </w:tr>
      <w:tr w:rsidR="006F5B00" w:rsidRPr="00137BBC" w14:paraId="669D547A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90EC" w14:textId="77777777" w:rsidR="006F5B00" w:rsidRPr="00137BBC" w:rsidRDefault="006F5B00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20a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4AF4A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Tier 1 capital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55F9C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25D1A037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75FC2ED3" w14:textId="5ACC3C2E" w:rsidR="006F5B00" w:rsidRPr="00137BBC" w:rsidRDefault="00AF0C67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20</w:t>
            </w:r>
            <w:r w:rsidR="00B33E5E" w:rsidRPr="009C497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496</w:t>
            </w:r>
          </w:p>
        </w:tc>
      </w:tr>
      <w:tr w:rsidR="006F5B00" w:rsidRPr="00137BBC" w14:paraId="37947090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EC807" w14:textId="77777777" w:rsidR="006F5B00" w:rsidRPr="00137BBC" w:rsidRDefault="006F5B00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21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C8A1C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Total Exposures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B3EA5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2A3F1E21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$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527397D4" w14:textId="21EBA362" w:rsidR="006F5B00" w:rsidRPr="00137BBC" w:rsidRDefault="00B33E5E" w:rsidP="00F7385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,</w:t>
            </w:r>
            <w:r w:rsidR="00AF0C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375</w:t>
            </w:r>
          </w:p>
        </w:tc>
      </w:tr>
      <w:tr w:rsidR="006F5B00" w:rsidRPr="00137BBC" w14:paraId="710ECB7A" w14:textId="77777777" w:rsidTr="00F7385D">
        <w:trPr>
          <w:gridAfter w:val="1"/>
          <w:wAfter w:w="1186" w:type="dxa"/>
          <w:trHeight w:val="18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2844" w14:textId="77777777" w:rsidR="006F5B00" w:rsidRPr="00137BBC" w:rsidRDefault="006F5B00" w:rsidP="00F7385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9E61" w14:textId="77777777" w:rsidR="006F5B00" w:rsidRPr="00137BBC" w:rsidRDefault="006F5B00" w:rsidP="00F738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0DBBD" w14:textId="77777777" w:rsidR="006F5B00" w:rsidRPr="00137BBC" w:rsidRDefault="006F5B00" w:rsidP="00F7385D">
            <w:pPr>
              <w:spacing w:after="0"/>
              <w:rPr>
                <w:rFonts w:ascii="Times New Roman" w:hAnsi="Times New Roman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88A95BC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379F305A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6F5B00" w:rsidRPr="00137BBC" w14:paraId="46519DBD" w14:textId="77777777" w:rsidTr="00F7385D">
        <w:trPr>
          <w:gridAfter w:val="1"/>
          <w:wAfter w:w="1186" w:type="dxa"/>
          <w:trHeight w:val="193"/>
        </w:trPr>
        <w:tc>
          <w:tcPr>
            <w:tcW w:w="86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FEE7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Leverage Ratios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5FE039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7F29D1A8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  <w:hideMark/>
          </w:tcPr>
          <w:p w14:paraId="025D09E7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</w:tr>
      <w:tr w:rsidR="006F5B00" w14:paraId="03499D88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1D25B1" w14:textId="77777777" w:rsidR="006F5B00" w:rsidRDefault="006F5B00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22</w:t>
            </w:r>
          </w:p>
        </w:tc>
        <w:tc>
          <w:tcPr>
            <w:tcW w:w="82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3BD377" w14:textId="77777777" w:rsidR="006F5B00" w:rsidRPr="00A024D9" w:rsidRDefault="006F5B00" w:rsidP="00F7385D">
            <w:pPr>
              <w:spacing w:after="0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CA"/>
              </w:rPr>
              <w:t>Basel III Leverage Ratio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2C3FBD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</w:tcPr>
          <w:p w14:paraId="1B9628C1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right w:val="nil"/>
            </w:tcBorders>
            <w:shd w:val="clear" w:color="000000" w:fill="FFE9A3"/>
            <w:noWrap/>
            <w:vAlign w:val="bottom"/>
          </w:tcPr>
          <w:p w14:paraId="6AA62796" w14:textId="449AA60F" w:rsidR="006F5B00" w:rsidRDefault="00AF0C67" w:rsidP="00947630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91</w:t>
            </w:r>
            <w:r w:rsidR="00B33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</w:t>
            </w:r>
            <w:r w:rsidR="006F5B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</w:tr>
      <w:tr w:rsidR="006F5B00" w:rsidRPr="00856B3D" w14:paraId="2B5CE7B2" w14:textId="77777777" w:rsidTr="00F7385D">
        <w:trPr>
          <w:gridAfter w:val="1"/>
          <w:wAfter w:w="1186" w:type="dxa"/>
          <w:trHeight w:val="193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D1D6F" w14:textId="77777777" w:rsidR="006F5B00" w:rsidRPr="00137BBC" w:rsidRDefault="006F5B00" w:rsidP="00F7385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  <w:t>22a</w:t>
            </w:r>
          </w:p>
        </w:tc>
        <w:tc>
          <w:tcPr>
            <w:tcW w:w="8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EF98D" w14:textId="77777777" w:rsidR="006F5B00" w:rsidRPr="00A024D9" w:rsidRDefault="006F5B00" w:rsidP="00F7385D">
            <w:pPr>
              <w:spacing w:after="0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CA"/>
              </w:rPr>
            </w:pPr>
            <w:r w:rsidRPr="00A024D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CA"/>
              </w:rPr>
              <w:t>Basel III Leverage Ratio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CA"/>
              </w:rPr>
              <w:t xml:space="preserve"> with transitional arrangements for ECL provisioning not applied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4878FA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6155F83E" w14:textId="77777777" w:rsidR="006F5B00" w:rsidRPr="00137BBC" w:rsidRDefault="006F5B00" w:rsidP="00F7385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37B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9A3"/>
            <w:noWrap/>
            <w:vAlign w:val="bottom"/>
            <w:hideMark/>
          </w:tcPr>
          <w:p w14:paraId="3A21523E" w14:textId="48B625F9" w:rsidR="006F5B00" w:rsidRPr="00856B3D" w:rsidRDefault="00AF0C67" w:rsidP="00947630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91</w:t>
            </w:r>
            <w:r w:rsidR="00B33E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6</w:t>
            </w:r>
            <w:r w:rsidR="006F5B00" w:rsidRPr="00856B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CA"/>
              </w:rPr>
              <w:t>%</w:t>
            </w:r>
          </w:p>
        </w:tc>
      </w:tr>
    </w:tbl>
    <w:p w14:paraId="263162F8" w14:textId="77777777" w:rsidR="001D7BC4" w:rsidRPr="00D70DE8" w:rsidRDefault="001D7BC4" w:rsidP="00103306">
      <w:pPr>
        <w:outlineLvl w:val="1"/>
      </w:pPr>
    </w:p>
    <w:sectPr w:rsidR="001D7BC4" w:rsidRPr="00D70DE8" w:rsidSect="0026226D">
      <w:headerReference w:type="default" r:id="rId13"/>
      <w:footerReference w:type="default" r:id="rId14"/>
      <w:pgSz w:w="12240" w:h="15840" w:code="1"/>
      <w:pgMar w:top="900" w:right="1440" w:bottom="1843" w:left="1440" w:header="72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E150" w14:textId="77777777" w:rsidR="00877E52" w:rsidRDefault="00877E52">
      <w:r>
        <w:separator/>
      </w:r>
    </w:p>
  </w:endnote>
  <w:endnote w:type="continuationSeparator" w:id="0">
    <w:p w14:paraId="4E2DEA3F" w14:textId="77777777" w:rsidR="00877E52" w:rsidRDefault="0087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Bold"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CC15" w14:textId="77777777" w:rsidR="00877E52" w:rsidRDefault="00877E52" w:rsidP="00F738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A127A" w14:textId="77777777" w:rsidR="00877E52" w:rsidRDefault="00877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1336" w14:textId="77777777" w:rsidR="00877E52" w:rsidRPr="004F4979" w:rsidRDefault="00877E52" w:rsidP="00B00962">
    <w:pPr>
      <w:pStyle w:val="Footer"/>
      <w:tabs>
        <w:tab w:val="clear" w:pos="4320"/>
        <w:tab w:val="clear" w:pos="8640"/>
      </w:tabs>
      <w:rPr>
        <w:color w:val="4C8AB7"/>
        <w:sz w:val="16"/>
        <w:szCs w:val="16"/>
      </w:rPr>
    </w:pPr>
    <w:r>
      <w:rPr>
        <w:color w:val="4C8AB7"/>
        <w:sz w:val="16"/>
        <w:szCs w:val="16"/>
      </w:rPr>
      <w:br/>
    </w:r>
    <w:r w:rsidRPr="004F4979">
      <w:rPr>
        <w:noProof/>
        <w:snapToGrid/>
        <w:color w:val="4C8AB7"/>
        <w:sz w:val="16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D97FBB" wp14:editId="0105EC26">
              <wp:simplePos x="0" y="0"/>
              <wp:positionH relativeFrom="column">
                <wp:posOffset>-977265</wp:posOffset>
              </wp:positionH>
              <wp:positionV relativeFrom="paragraph">
                <wp:posOffset>-64770</wp:posOffset>
              </wp:positionV>
              <wp:extent cx="7886700" cy="0"/>
              <wp:effectExtent l="0" t="0" r="12700" b="254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86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A9C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0167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95pt,-5.1pt" to="544.0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" strokecolor="#6a9cc9"/>
          </w:pict>
        </mc:Fallback>
      </mc:AlternateContent>
    </w:r>
    <w:r w:rsidRPr="004F4979">
      <w:rPr>
        <w:color w:val="4C8AB7"/>
        <w:sz w:val="16"/>
        <w:szCs w:val="16"/>
      </w:rPr>
      <w:t>Footer Text</w:t>
    </w:r>
    <w:r w:rsidRPr="004F4979">
      <w:rPr>
        <w:color w:val="4C8AB7"/>
        <w:sz w:val="16"/>
        <w:szCs w:val="16"/>
      </w:rPr>
      <w:tab/>
    </w:r>
    <w:r>
      <w:rPr>
        <w:color w:val="4C8AB7"/>
        <w:sz w:val="16"/>
        <w:szCs w:val="16"/>
      </w:rPr>
      <w:tab/>
    </w:r>
    <w:r>
      <w:rPr>
        <w:color w:val="4C8AB7"/>
        <w:sz w:val="16"/>
        <w:szCs w:val="16"/>
      </w:rPr>
      <w:tab/>
    </w:r>
    <w:r>
      <w:rPr>
        <w:color w:val="4C8AB7"/>
        <w:sz w:val="16"/>
        <w:szCs w:val="16"/>
      </w:rPr>
      <w:tab/>
    </w:r>
    <w:r>
      <w:rPr>
        <w:color w:val="4C8AB7"/>
        <w:sz w:val="16"/>
        <w:szCs w:val="16"/>
      </w:rPr>
      <w:tab/>
    </w:r>
    <w:r>
      <w:rPr>
        <w:color w:val="4C8AB7"/>
        <w:sz w:val="16"/>
        <w:szCs w:val="16"/>
      </w:rPr>
      <w:tab/>
    </w:r>
    <w:r w:rsidRPr="004F4979">
      <w:rPr>
        <w:color w:val="4C8AB7"/>
        <w:sz w:val="16"/>
        <w:szCs w:val="16"/>
      </w:rPr>
      <w:fldChar w:fldCharType="begin"/>
    </w:r>
    <w:r w:rsidRPr="004F4979">
      <w:rPr>
        <w:color w:val="4C8AB7"/>
        <w:sz w:val="16"/>
        <w:szCs w:val="16"/>
      </w:rPr>
      <w:instrText xml:space="preserve"> PAGE </w:instrText>
    </w:r>
    <w:r w:rsidRPr="004F4979">
      <w:rPr>
        <w:color w:val="4C8AB7"/>
        <w:sz w:val="16"/>
        <w:szCs w:val="16"/>
      </w:rPr>
      <w:fldChar w:fldCharType="separate"/>
    </w:r>
    <w:r>
      <w:rPr>
        <w:noProof/>
        <w:color w:val="4C8AB7"/>
        <w:sz w:val="16"/>
        <w:szCs w:val="16"/>
      </w:rPr>
      <w:t>2</w:t>
    </w:r>
    <w:r w:rsidRPr="004F4979">
      <w:rPr>
        <w:color w:val="4C8AB7"/>
        <w:sz w:val="16"/>
        <w:szCs w:val="16"/>
      </w:rPr>
      <w:fldChar w:fldCharType="end"/>
    </w:r>
    <w:r>
      <w:rPr>
        <w:color w:val="4C8AB7"/>
        <w:sz w:val="16"/>
        <w:szCs w:val="16"/>
      </w:rPr>
      <w:tab/>
    </w:r>
    <w:r>
      <w:rPr>
        <w:color w:val="4C8AB7"/>
        <w:sz w:val="16"/>
        <w:szCs w:val="16"/>
      </w:rPr>
      <w:tab/>
    </w:r>
    <w:r>
      <w:rPr>
        <w:color w:val="4C8AB7"/>
        <w:sz w:val="16"/>
        <w:szCs w:val="16"/>
      </w:rPr>
      <w:tab/>
    </w:r>
    <w:r>
      <w:rPr>
        <w:color w:val="4C8AB7"/>
        <w:sz w:val="16"/>
        <w:szCs w:val="16"/>
      </w:rPr>
      <w:tab/>
    </w:r>
    <w:r>
      <w:rPr>
        <w:color w:val="4C8AB7"/>
        <w:sz w:val="16"/>
        <w:szCs w:val="16"/>
      </w:rPr>
      <w:tab/>
    </w:r>
    <w:r w:rsidRPr="004F4979">
      <w:rPr>
        <w:color w:val="4C8AB7"/>
        <w:sz w:val="16"/>
        <w:szCs w:val="16"/>
      </w:rPr>
      <w:t xml:space="preserve">Date   </w:t>
    </w:r>
    <w:r w:rsidRPr="004F4979">
      <w:rPr>
        <w:color w:val="4C8AB7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246E" w14:textId="77777777" w:rsidR="00877E52" w:rsidRDefault="00877E52">
    <w:pPr>
      <w:pStyle w:val="Footer"/>
    </w:pPr>
    <w:r>
      <w:rPr>
        <w:noProof/>
        <w:snapToGrid/>
        <w:lang w:val="en-CA" w:eastAsia="en-CA"/>
      </w:rPr>
      <w:drawing>
        <wp:anchor distT="0" distB="0" distL="114300" distR="114300" simplePos="0" relativeHeight="251681280" behindDoc="0" locked="0" layoutInCell="1" allowOverlap="1" wp14:anchorId="3AA167B2" wp14:editId="5D13F732">
          <wp:simplePos x="0" y="0"/>
          <wp:positionH relativeFrom="column">
            <wp:posOffset>-1164167</wp:posOffset>
          </wp:positionH>
          <wp:positionV relativeFrom="paragraph">
            <wp:posOffset>-182457</wp:posOffset>
          </wp:positionV>
          <wp:extent cx="8202168" cy="969264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 concentra footer 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2168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BE52" w14:textId="77777777" w:rsidR="00877E52" w:rsidRDefault="00877E52" w:rsidP="000E1A4E">
    <w:pPr>
      <w:pStyle w:val="Footer"/>
      <w:tabs>
        <w:tab w:val="clear" w:pos="8640"/>
        <w:tab w:val="right" w:pos="10348"/>
      </w:tabs>
      <w:ind w:left="-993" w:right="-988"/>
      <w:jc w:val="center"/>
      <w:rPr>
        <w:color w:val="4C8AB7"/>
        <w:sz w:val="36"/>
        <w:szCs w:val="36"/>
      </w:rPr>
    </w:pPr>
    <w:r>
      <w:rPr>
        <w:color w:val="4C8AB7"/>
        <w:sz w:val="36"/>
        <w:szCs w:val="36"/>
      </w:rPr>
      <w:t>____________________________________________</w:t>
    </w:r>
  </w:p>
  <w:p w14:paraId="3E87159F" w14:textId="77777777" w:rsidR="00877E52" w:rsidRPr="00680D5C" w:rsidRDefault="00877E52" w:rsidP="000E1A4E">
    <w:pPr>
      <w:pStyle w:val="Footer"/>
      <w:framePr w:h="517" w:hRule="exact" w:wrap="around" w:vAnchor="text" w:hAnchor="page" w:x="6022" w:y="196"/>
      <w:jc w:val="center"/>
      <w:rPr>
        <w:rStyle w:val="PageNumber"/>
        <w:b w:val="0"/>
        <w:color w:val="006BA6"/>
        <w:sz w:val="36"/>
        <w:szCs w:val="36"/>
      </w:rPr>
    </w:pPr>
    <w:r w:rsidRPr="00680D5C">
      <w:rPr>
        <w:rStyle w:val="PageNumber"/>
        <w:b w:val="0"/>
        <w:color w:val="006BA6"/>
        <w:sz w:val="36"/>
        <w:szCs w:val="36"/>
      </w:rPr>
      <w:fldChar w:fldCharType="begin"/>
    </w:r>
    <w:r w:rsidRPr="00680D5C">
      <w:rPr>
        <w:rStyle w:val="PageNumber"/>
        <w:b w:val="0"/>
        <w:color w:val="006BA6"/>
        <w:sz w:val="36"/>
        <w:szCs w:val="36"/>
      </w:rPr>
      <w:instrText xml:space="preserve">PAGE  </w:instrText>
    </w:r>
    <w:r w:rsidRPr="00680D5C">
      <w:rPr>
        <w:rStyle w:val="PageNumber"/>
        <w:b w:val="0"/>
        <w:color w:val="006BA6"/>
        <w:sz w:val="36"/>
        <w:szCs w:val="36"/>
      </w:rPr>
      <w:fldChar w:fldCharType="separate"/>
    </w:r>
    <w:r>
      <w:rPr>
        <w:rStyle w:val="PageNumber"/>
        <w:b w:val="0"/>
        <w:noProof/>
        <w:color w:val="006BA6"/>
        <w:sz w:val="36"/>
        <w:szCs w:val="36"/>
      </w:rPr>
      <w:t>1</w:t>
    </w:r>
    <w:r w:rsidRPr="00680D5C">
      <w:rPr>
        <w:rStyle w:val="PageNumber"/>
        <w:b w:val="0"/>
        <w:color w:val="006BA6"/>
        <w:sz w:val="36"/>
        <w:szCs w:val="36"/>
      </w:rPr>
      <w:fldChar w:fldCharType="end"/>
    </w:r>
  </w:p>
  <w:p w14:paraId="5F5559B0" w14:textId="77777777" w:rsidR="00877E52" w:rsidRPr="00674B34" w:rsidRDefault="00877E52" w:rsidP="00E7541D">
    <w:pPr>
      <w:pStyle w:val="Footer"/>
      <w:tabs>
        <w:tab w:val="clear" w:pos="8640"/>
        <w:tab w:val="right" w:pos="9360"/>
      </w:tabs>
      <w:jc w:val="center"/>
      <w:rPr>
        <w:color w:val="4C8AB7"/>
        <w:sz w:val="36"/>
        <w:szCs w:val="36"/>
      </w:rPr>
    </w:pPr>
    <w:r>
      <w:rPr>
        <w:noProof/>
        <w:lang w:val="en-CA" w:eastAsia="en-CA"/>
      </w:rPr>
      <w:drawing>
        <wp:anchor distT="0" distB="0" distL="114300" distR="114300" simplePos="0" relativeHeight="251679232" behindDoc="0" locked="0" layoutInCell="1" allowOverlap="1" wp14:anchorId="61FF29B4" wp14:editId="14EFD7DA">
          <wp:simplePos x="0" y="0"/>
          <wp:positionH relativeFrom="column">
            <wp:posOffset>4817745</wp:posOffset>
          </wp:positionH>
          <wp:positionV relativeFrom="paragraph">
            <wp:posOffset>114935</wp:posOffset>
          </wp:positionV>
          <wp:extent cx="1748790" cy="240030"/>
          <wp:effectExtent l="0" t="0" r="381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E-LOGO_PMS_3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90" cy="2400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  <w:color w:val="4C8AB7"/>
        <w:sz w:val="36"/>
        <w:szCs w:val="36"/>
        <w:lang w:val="en-CA" w:eastAsia="en-CA"/>
      </w:rPr>
      <w:drawing>
        <wp:anchor distT="0" distB="0" distL="114300" distR="114300" simplePos="0" relativeHeight="251680256" behindDoc="0" locked="0" layoutInCell="1" allowOverlap="1" wp14:anchorId="50388A87" wp14:editId="2427500F">
          <wp:simplePos x="0" y="0"/>
          <wp:positionH relativeFrom="column">
            <wp:posOffset>-634365</wp:posOffset>
          </wp:positionH>
          <wp:positionV relativeFrom="paragraph">
            <wp:posOffset>12065</wp:posOffset>
          </wp:positionV>
          <wp:extent cx="875030" cy="406400"/>
          <wp:effectExtent l="0" t="0" r="0" b="0"/>
          <wp:wrapNone/>
          <wp:docPr id="26" name="Picture 26" descr="FILESERVER:CREATIVE:z_Vector Logos and Templates:C:Concentra:Support Logos:CBMC_Logo_307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SERVER:CREATIVE:z_Vector Logos and Templates:C:Concentra:Support Logos:CBMC_Logo_307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C8AB7"/>
        <w:sz w:val="36"/>
        <w:szCs w:val="3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73C8" w14:textId="77777777" w:rsidR="00877E52" w:rsidRDefault="00877E52">
      <w:r>
        <w:separator/>
      </w:r>
    </w:p>
  </w:footnote>
  <w:footnote w:type="continuationSeparator" w:id="0">
    <w:p w14:paraId="11B1D153" w14:textId="77777777" w:rsidR="00877E52" w:rsidRDefault="0087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F84B" w14:textId="77777777" w:rsidR="00877E52" w:rsidRDefault="00877E52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77184" behindDoc="0" locked="0" layoutInCell="1" allowOverlap="1" wp14:anchorId="414C729E" wp14:editId="2CD5F30A">
          <wp:simplePos x="0" y="0"/>
          <wp:positionH relativeFrom="column">
            <wp:posOffset>-367665</wp:posOffset>
          </wp:positionH>
          <wp:positionV relativeFrom="paragraph">
            <wp:posOffset>151130</wp:posOffset>
          </wp:positionV>
          <wp:extent cx="2519680" cy="346710"/>
          <wp:effectExtent l="0" t="0" r="0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E-LOGO_PMS_3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3467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0F63" w14:textId="77777777" w:rsidR="00877E52" w:rsidRPr="00680D5C" w:rsidRDefault="00877E52">
    <w:pPr>
      <w:pStyle w:val="Header"/>
      <w:rPr>
        <w:b w:val="0"/>
      </w:rPr>
    </w:pPr>
    <w:r w:rsidRPr="00680D5C">
      <w:rPr>
        <w:b w:val="0"/>
        <w:noProof/>
        <w:lang w:val="en-CA" w:eastAsia="en-CA"/>
      </w:rPr>
      <w:drawing>
        <wp:anchor distT="0" distB="0" distL="114300" distR="114300" simplePos="0" relativeHeight="251673088" behindDoc="0" locked="0" layoutInCell="1" allowOverlap="1" wp14:anchorId="5B411EA8" wp14:editId="6C41FD5A">
          <wp:simplePos x="0" y="0"/>
          <wp:positionH relativeFrom="column">
            <wp:posOffset>-520065</wp:posOffset>
          </wp:positionH>
          <wp:positionV relativeFrom="paragraph">
            <wp:posOffset>-1270</wp:posOffset>
          </wp:positionV>
          <wp:extent cx="2519680" cy="346710"/>
          <wp:effectExtent l="0" t="0" r="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E-LOGO_PMS_3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3467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9327" w14:textId="77777777" w:rsidR="00877E52" w:rsidRDefault="00877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719"/>
    <w:multiLevelType w:val="singleLevel"/>
    <w:tmpl w:val="A916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5351E6F"/>
    <w:multiLevelType w:val="singleLevel"/>
    <w:tmpl w:val="E07CA6F2"/>
    <w:lvl w:ilvl="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5A92E01"/>
    <w:multiLevelType w:val="singleLevel"/>
    <w:tmpl w:val="A916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8DA2363"/>
    <w:multiLevelType w:val="singleLevel"/>
    <w:tmpl w:val="CBC4A9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69C5548"/>
    <w:multiLevelType w:val="singleLevel"/>
    <w:tmpl w:val="A916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34A3AD8"/>
    <w:multiLevelType w:val="singleLevel"/>
    <w:tmpl w:val="06AE9A52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747D1DE3"/>
    <w:multiLevelType w:val="hybridMultilevel"/>
    <w:tmpl w:val="5352CA1C"/>
    <w:lvl w:ilvl="0" w:tplc="3F8C4F8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E900F3"/>
    <w:multiLevelType w:val="hybridMultilevel"/>
    <w:tmpl w:val="497A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89208">
    <w:abstractNumId w:val="5"/>
  </w:num>
  <w:num w:numId="2" w16cid:durableId="378171062">
    <w:abstractNumId w:val="1"/>
  </w:num>
  <w:num w:numId="3" w16cid:durableId="528950001">
    <w:abstractNumId w:val="3"/>
  </w:num>
  <w:num w:numId="4" w16cid:durableId="1152675197">
    <w:abstractNumId w:val="2"/>
  </w:num>
  <w:num w:numId="5" w16cid:durableId="749079025">
    <w:abstractNumId w:val="0"/>
  </w:num>
  <w:num w:numId="6" w16cid:durableId="1367560487">
    <w:abstractNumId w:val="4"/>
  </w:num>
  <w:num w:numId="7" w16cid:durableId="182406100">
    <w:abstractNumId w:val="6"/>
  </w:num>
  <w:num w:numId="8" w16cid:durableId="1778793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06"/>
    <w:rsid w:val="00003B79"/>
    <w:rsid w:val="000144EC"/>
    <w:rsid w:val="00015ACD"/>
    <w:rsid w:val="0003149C"/>
    <w:rsid w:val="00035CF6"/>
    <w:rsid w:val="00046829"/>
    <w:rsid w:val="000504C4"/>
    <w:rsid w:val="00051194"/>
    <w:rsid w:val="00060416"/>
    <w:rsid w:val="0006469B"/>
    <w:rsid w:val="00073804"/>
    <w:rsid w:val="00073B81"/>
    <w:rsid w:val="00090885"/>
    <w:rsid w:val="00091DF5"/>
    <w:rsid w:val="00097D01"/>
    <w:rsid w:val="000B07AE"/>
    <w:rsid w:val="000B1E09"/>
    <w:rsid w:val="000D110E"/>
    <w:rsid w:val="000D4A2F"/>
    <w:rsid w:val="000E1A4E"/>
    <w:rsid w:val="000E2BF4"/>
    <w:rsid w:val="000F0A13"/>
    <w:rsid w:val="00103306"/>
    <w:rsid w:val="0011298D"/>
    <w:rsid w:val="001207E2"/>
    <w:rsid w:val="00125A3E"/>
    <w:rsid w:val="00127B0F"/>
    <w:rsid w:val="001410C5"/>
    <w:rsid w:val="00145773"/>
    <w:rsid w:val="00156700"/>
    <w:rsid w:val="001605EC"/>
    <w:rsid w:val="0016212E"/>
    <w:rsid w:val="00180197"/>
    <w:rsid w:val="00184782"/>
    <w:rsid w:val="00187BAE"/>
    <w:rsid w:val="001905BE"/>
    <w:rsid w:val="001B5D50"/>
    <w:rsid w:val="001D7043"/>
    <w:rsid w:val="001D7BC4"/>
    <w:rsid w:val="001E3DE2"/>
    <w:rsid w:val="001F5C85"/>
    <w:rsid w:val="00211B9B"/>
    <w:rsid w:val="0021329F"/>
    <w:rsid w:val="00237066"/>
    <w:rsid w:val="00240989"/>
    <w:rsid w:val="002439A7"/>
    <w:rsid w:val="00246FFB"/>
    <w:rsid w:val="00260380"/>
    <w:rsid w:val="0026226D"/>
    <w:rsid w:val="00264464"/>
    <w:rsid w:val="0026650E"/>
    <w:rsid w:val="002A2BD5"/>
    <w:rsid w:val="002B0911"/>
    <w:rsid w:val="002B579E"/>
    <w:rsid w:val="002C5837"/>
    <w:rsid w:val="002D13E2"/>
    <w:rsid w:val="002D5262"/>
    <w:rsid w:val="002D6082"/>
    <w:rsid w:val="002E3345"/>
    <w:rsid w:val="002F634D"/>
    <w:rsid w:val="00301056"/>
    <w:rsid w:val="0031769D"/>
    <w:rsid w:val="003309C7"/>
    <w:rsid w:val="0033178D"/>
    <w:rsid w:val="00345412"/>
    <w:rsid w:val="00345694"/>
    <w:rsid w:val="00347C7D"/>
    <w:rsid w:val="00351C96"/>
    <w:rsid w:val="003532CD"/>
    <w:rsid w:val="003601C8"/>
    <w:rsid w:val="00362349"/>
    <w:rsid w:val="00380CBD"/>
    <w:rsid w:val="003831D5"/>
    <w:rsid w:val="00383BB7"/>
    <w:rsid w:val="003A10EC"/>
    <w:rsid w:val="003A46F5"/>
    <w:rsid w:val="003B3170"/>
    <w:rsid w:val="003B33BE"/>
    <w:rsid w:val="003B4052"/>
    <w:rsid w:val="003B7FDC"/>
    <w:rsid w:val="003C2DA3"/>
    <w:rsid w:val="003C4016"/>
    <w:rsid w:val="003D59B4"/>
    <w:rsid w:val="003F6EBA"/>
    <w:rsid w:val="004055EA"/>
    <w:rsid w:val="0040787B"/>
    <w:rsid w:val="00414EE1"/>
    <w:rsid w:val="0041527E"/>
    <w:rsid w:val="0041610B"/>
    <w:rsid w:val="004176F4"/>
    <w:rsid w:val="00425025"/>
    <w:rsid w:val="0043065E"/>
    <w:rsid w:val="0045736E"/>
    <w:rsid w:val="00474A9E"/>
    <w:rsid w:val="00476B9C"/>
    <w:rsid w:val="00477137"/>
    <w:rsid w:val="004801D1"/>
    <w:rsid w:val="0049311D"/>
    <w:rsid w:val="00493309"/>
    <w:rsid w:val="00495217"/>
    <w:rsid w:val="0049705B"/>
    <w:rsid w:val="004A33B1"/>
    <w:rsid w:val="004A3756"/>
    <w:rsid w:val="004B50CC"/>
    <w:rsid w:val="004C7FE1"/>
    <w:rsid w:val="004E711B"/>
    <w:rsid w:val="004F0FCB"/>
    <w:rsid w:val="004F2FA8"/>
    <w:rsid w:val="004F4979"/>
    <w:rsid w:val="00501A2D"/>
    <w:rsid w:val="005031D5"/>
    <w:rsid w:val="00507A7D"/>
    <w:rsid w:val="0051368C"/>
    <w:rsid w:val="00514127"/>
    <w:rsid w:val="005179D9"/>
    <w:rsid w:val="0052545E"/>
    <w:rsid w:val="00532E17"/>
    <w:rsid w:val="00546151"/>
    <w:rsid w:val="00546BAD"/>
    <w:rsid w:val="00556597"/>
    <w:rsid w:val="00566D07"/>
    <w:rsid w:val="00567611"/>
    <w:rsid w:val="0057611E"/>
    <w:rsid w:val="00583799"/>
    <w:rsid w:val="00585ADE"/>
    <w:rsid w:val="00591402"/>
    <w:rsid w:val="00596FCE"/>
    <w:rsid w:val="0059766E"/>
    <w:rsid w:val="005A6B72"/>
    <w:rsid w:val="005B06FA"/>
    <w:rsid w:val="005D0606"/>
    <w:rsid w:val="005D5D20"/>
    <w:rsid w:val="005D5D45"/>
    <w:rsid w:val="005E264F"/>
    <w:rsid w:val="005F459C"/>
    <w:rsid w:val="005F7463"/>
    <w:rsid w:val="0060518B"/>
    <w:rsid w:val="00615D51"/>
    <w:rsid w:val="006178AE"/>
    <w:rsid w:val="00633B7D"/>
    <w:rsid w:val="00635B2B"/>
    <w:rsid w:val="0063637A"/>
    <w:rsid w:val="0065040C"/>
    <w:rsid w:val="00651D6F"/>
    <w:rsid w:val="006631B9"/>
    <w:rsid w:val="00666814"/>
    <w:rsid w:val="00673F70"/>
    <w:rsid w:val="006740E8"/>
    <w:rsid w:val="00674B34"/>
    <w:rsid w:val="00680D5C"/>
    <w:rsid w:val="00681CAA"/>
    <w:rsid w:val="006A2115"/>
    <w:rsid w:val="006A5D4D"/>
    <w:rsid w:val="006A65A6"/>
    <w:rsid w:val="006C0614"/>
    <w:rsid w:val="006D0763"/>
    <w:rsid w:val="006D3912"/>
    <w:rsid w:val="006D643B"/>
    <w:rsid w:val="006D7AC7"/>
    <w:rsid w:val="006E41AD"/>
    <w:rsid w:val="006F307B"/>
    <w:rsid w:val="006F5B00"/>
    <w:rsid w:val="007029E1"/>
    <w:rsid w:val="00707363"/>
    <w:rsid w:val="00707A68"/>
    <w:rsid w:val="00710C8D"/>
    <w:rsid w:val="007149DE"/>
    <w:rsid w:val="0072335D"/>
    <w:rsid w:val="00742EA3"/>
    <w:rsid w:val="00745D0F"/>
    <w:rsid w:val="00746A5F"/>
    <w:rsid w:val="00747DF9"/>
    <w:rsid w:val="00747F6E"/>
    <w:rsid w:val="0075187D"/>
    <w:rsid w:val="00756544"/>
    <w:rsid w:val="00757137"/>
    <w:rsid w:val="0076050C"/>
    <w:rsid w:val="007606FB"/>
    <w:rsid w:val="007627C0"/>
    <w:rsid w:val="007653E8"/>
    <w:rsid w:val="007700C0"/>
    <w:rsid w:val="00781A46"/>
    <w:rsid w:val="007840E0"/>
    <w:rsid w:val="00796C45"/>
    <w:rsid w:val="007A0F2E"/>
    <w:rsid w:val="007B1DCD"/>
    <w:rsid w:val="007B5E3C"/>
    <w:rsid w:val="007C7781"/>
    <w:rsid w:val="007D3940"/>
    <w:rsid w:val="007E3119"/>
    <w:rsid w:val="007E31DA"/>
    <w:rsid w:val="007E6404"/>
    <w:rsid w:val="007F3B34"/>
    <w:rsid w:val="007F63BC"/>
    <w:rsid w:val="0081392C"/>
    <w:rsid w:val="008153C5"/>
    <w:rsid w:val="00822E56"/>
    <w:rsid w:val="00822F77"/>
    <w:rsid w:val="008420C7"/>
    <w:rsid w:val="00850BFD"/>
    <w:rsid w:val="00851C90"/>
    <w:rsid w:val="0085562F"/>
    <w:rsid w:val="00856B3D"/>
    <w:rsid w:val="00864033"/>
    <w:rsid w:val="00871234"/>
    <w:rsid w:val="00877E52"/>
    <w:rsid w:val="00887BF8"/>
    <w:rsid w:val="00895720"/>
    <w:rsid w:val="008A275D"/>
    <w:rsid w:val="008A2C28"/>
    <w:rsid w:val="008B1A59"/>
    <w:rsid w:val="008E7865"/>
    <w:rsid w:val="008F0CDF"/>
    <w:rsid w:val="00902896"/>
    <w:rsid w:val="009137E0"/>
    <w:rsid w:val="0092197D"/>
    <w:rsid w:val="00940FD1"/>
    <w:rsid w:val="009437A1"/>
    <w:rsid w:val="00947439"/>
    <w:rsid w:val="00947630"/>
    <w:rsid w:val="00952856"/>
    <w:rsid w:val="00960269"/>
    <w:rsid w:val="0096085E"/>
    <w:rsid w:val="00962C81"/>
    <w:rsid w:val="00964068"/>
    <w:rsid w:val="00976AB4"/>
    <w:rsid w:val="009847F7"/>
    <w:rsid w:val="00985FFF"/>
    <w:rsid w:val="00994DEF"/>
    <w:rsid w:val="009951CD"/>
    <w:rsid w:val="009A0BD0"/>
    <w:rsid w:val="009A7E63"/>
    <w:rsid w:val="009B4AC4"/>
    <w:rsid w:val="009C1923"/>
    <w:rsid w:val="009C4974"/>
    <w:rsid w:val="009D00CF"/>
    <w:rsid w:val="009E187A"/>
    <w:rsid w:val="009E2186"/>
    <w:rsid w:val="009E477F"/>
    <w:rsid w:val="009F61D6"/>
    <w:rsid w:val="00A030FE"/>
    <w:rsid w:val="00A15087"/>
    <w:rsid w:val="00A2414E"/>
    <w:rsid w:val="00A302FB"/>
    <w:rsid w:val="00A334C3"/>
    <w:rsid w:val="00A339AB"/>
    <w:rsid w:val="00A35DD9"/>
    <w:rsid w:val="00A46C18"/>
    <w:rsid w:val="00A50AFE"/>
    <w:rsid w:val="00A515F4"/>
    <w:rsid w:val="00A70A10"/>
    <w:rsid w:val="00A71C71"/>
    <w:rsid w:val="00A735F4"/>
    <w:rsid w:val="00A743D4"/>
    <w:rsid w:val="00A77E06"/>
    <w:rsid w:val="00A77FB7"/>
    <w:rsid w:val="00A85862"/>
    <w:rsid w:val="00A90B0F"/>
    <w:rsid w:val="00A91A09"/>
    <w:rsid w:val="00A9592B"/>
    <w:rsid w:val="00AB6EE2"/>
    <w:rsid w:val="00AC3661"/>
    <w:rsid w:val="00AD2474"/>
    <w:rsid w:val="00AE1D88"/>
    <w:rsid w:val="00AF0C67"/>
    <w:rsid w:val="00B00962"/>
    <w:rsid w:val="00B02217"/>
    <w:rsid w:val="00B218FE"/>
    <w:rsid w:val="00B23701"/>
    <w:rsid w:val="00B25CD1"/>
    <w:rsid w:val="00B33CC1"/>
    <w:rsid w:val="00B33E5E"/>
    <w:rsid w:val="00B4582B"/>
    <w:rsid w:val="00B504F1"/>
    <w:rsid w:val="00B578A5"/>
    <w:rsid w:val="00B67ED8"/>
    <w:rsid w:val="00B77904"/>
    <w:rsid w:val="00B80927"/>
    <w:rsid w:val="00B9123C"/>
    <w:rsid w:val="00B943A3"/>
    <w:rsid w:val="00B9524E"/>
    <w:rsid w:val="00BB231C"/>
    <w:rsid w:val="00BB78C0"/>
    <w:rsid w:val="00BC00D8"/>
    <w:rsid w:val="00BC5DED"/>
    <w:rsid w:val="00BD34DA"/>
    <w:rsid w:val="00BD4765"/>
    <w:rsid w:val="00BE61E0"/>
    <w:rsid w:val="00BF187F"/>
    <w:rsid w:val="00C037E3"/>
    <w:rsid w:val="00C044EF"/>
    <w:rsid w:val="00C054AB"/>
    <w:rsid w:val="00C162C3"/>
    <w:rsid w:val="00C27AAE"/>
    <w:rsid w:val="00C42444"/>
    <w:rsid w:val="00C426BA"/>
    <w:rsid w:val="00C63177"/>
    <w:rsid w:val="00C75EE7"/>
    <w:rsid w:val="00C802B2"/>
    <w:rsid w:val="00C82427"/>
    <w:rsid w:val="00C86814"/>
    <w:rsid w:val="00C97170"/>
    <w:rsid w:val="00CA6E97"/>
    <w:rsid w:val="00CD35BE"/>
    <w:rsid w:val="00D047F8"/>
    <w:rsid w:val="00D076D8"/>
    <w:rsid w:val="00D14470"/>
    <w:rsid w:val="00D172FB"/>
    <w:rsid w:val="00D234D2"/>
    <w:rsid w:val="00D23955"/>
    <w:rsid w:val="00D24C2E"/>
    <w:rsid w:val="00D305DC"/>
    <w:rsid w:val="00D32CD8"/>
    <w:rsid w:val="00D33975"/>
    <w:rsid w:val="00D34CCA"/>
    <w:rsid w:val="00D353AA"/>
    <w:rsid w:val="00D4777C"/>
    <w:rsid w:val="00D57F21"/>
    <w:rsid w:val="00D60BFB"/>
    <w:rsid w:val="00D82E23"/>
    <w:rsid w:val="00D928AD"/>
    <w:rsid w:val="00DB3969"/>
    <w:rsid w:val="00DC01CC"/>
    <w:rsid w:val="00DC1A6B"/>
    <w:rsid w:val="00DC2B1E"/>
    <w:rsid w:val="00DC501C"/>
    <w:rsid w:val="00DD44A1"/>
    <w:rsid w:val="00DE37B5"/>
    <w:rsid w:val="00DE6538"/>
    <w:rsid w:val="00DE7BD2"/>
    <w:rsid w:val="00DF3A01"/>
    <w:rsid w:val="00DF6E31"/>
    <w:rsid w:val="00E04706"/>
    <w:rsid w:val="00E061C0"/>
    <w:rsid w:val="00E26747"/>
    <w:rsid w:val="00E27063"/>
    <w:rsid w:val="00E32352"/>
    <w:rsid w:val="00E47C8D"/>
    <w:rsid w:val="00E65721"/>
    <w:rsid w:val="00E7541D"/>
    <w:rsid w:val="00E76FA3"/>
    <w:rsid w:val="00EA2560"/>
    <w:rsid w:val="00EB708B"/>
    <w:rsid w:val="00ED119B"/>
    <w:rsid w:val="00EE390D"/>
    <w:rsid w:val="00EF1372"/>
    <w:rsid w:val="00EF3854"/>
    <w:rsid w:val="00F028B0"/>
    <w:rsid w:val="00F13A4D"/>
    <w:rsid w:val="00F1551F"/>
    <w:rsid w:val="00F15CDB"/>
    <w:rsid w:val="00F214F1"/>
    <w:rsid w:val="00F26287"/>
    <w:rsid w:val="00F26F70"/>
    <w:rsid w:val="00F47060"/>
    <w:rsid w:val="00F53A45"/>
    <w:rsid w:val="00F6758E"/>
    <w:rsid w:val="00F7015A"/>
    <w:rsid w:val="00F7385D"/>
    <w:rsid w:val="00F95B35"/>
    <w:rsid w:val="00F96CFB"/>
    <w:rsid w:val="00FA1B4E"/>
    <w:rsid w:val="00FA591F"/>
    <w:rsid w:val="00FB4EE4"/>
    <w:rsid w:val="00FD0765"/>
    <w:rsid w:val="00FD2C31"/>
    <w:rsid w:val="00FE24F2"/>
    <w:rsid w:val="00FE2CF7"/>
    <w:rsid w:val="00FE3244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."/>
  <w:listSeparator w:val=","/>
  <w14:docId w14:val="12AA621C"/>
  <w15:docId w15:val="{8786DB10-1785-4E61-B7B9-C661120C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5262"/>
    <w:pPr>
      <w:spacing w:after="24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4F4979"/>
    <w:pPr>
      <w:keepNext/>
      <w:spacing w:after="120"/>
      <w:outlineLvl w:val="0"/>
    </w:pPr>
    <w:rPr>
      <w:b/>
      <w:bCs/>
      <w:color w:val="4C8AB7"/>
      <w:w w:val="80"/>
      <w:sz w:val="28"/>
      <w:szCs w:val="28"/>
    </w:rPr>
  </w:style>
  <w:style w:type="paragraph" w:styleId="Heading2">
    <w:name w:val="heading 2"/>
    <w:basedOn w:val="Heading1"/>
    <w:next w:val="Normal"/>
    <w:qFormat/>
    <w:rsid w:val="004F4979"/>
    <w:pPr>
      <w:outlineLvl w:val="1"/>
    </w:pPr>
    <w:rPr>
      <w:bCs w:val="0"/>
      <w:color w:val="40352C"/>
      <w:sz w:val="24"/>
      <w:szCs w:val="24"/>
    </w:rPr>
  </w:style>
  <w:style w:type="paragraph" w:styleId="Heading3">
    <w:name w:val="heading 3"/>
    <w:basedOn w:val="Heading2"/>
    <w:next w:val="Normal"/>
    <w:qFormat/>
    <w:pPr>
      <w:spacing w:after="0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link w:val="HeaderChar"/>
    <w:pPr>
      <w:tabs>
        <w:tab w:val="center" w:pos="4320"/>
        <w:tab w:val="right" w:pos="8640"/>
      </w:tabs>
    </w:pPr>
    <w:rPr>
      <w:rFonts w:ascii="Verdana" w:hAnsi="Verdana"/>
      <w:b/>
      <w:color w:val="333399"/>
      <w:w w:val="80"/>
      <w:sz w:val="40"/>
      <w:szCs w:val="36"/>
      <w:lang w:val="en-US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b/>
      <w:snapToGrid w:val="0"/>
      <w:sz w:val="18"/>
      <w:szCs w:val="18"/>
    </w:rPr>
  </w:style>
  <w:style w:type="paragraph" w:customStyle="1" w:styleId="Bullets">
    <w:name w:val="Bullets"/>
    <w:basedOn w:val="Normal"/>
    <w:pPr>
      <w:numPr>
        <w:numId w:val="2"/>
      </w:numPr>
      <w:tabs>
        <w:tab w:val="clear" w:pos="360"/>
        <w:tab w:val="num" w:pos="1080"/>
      </w:tabs>
      <w:spacing w:after="120"/>
      <w:ind w:left="1080"/>
    </w:pPr>
  </w:style>
  <w:style w:type="paragraph" w:customStyle="1" w:styleId="NumberedList">
    <w:name w:val="Numbered List"/>
    <w:basedOn w:val="Normal"/>
    <w:pPr>
      <w:numPr>
        <w:numId w:val="1"/>
      </w:numPr>
      <w:spacing w:after="0"/>
    </w:pPr>
  </w:style>
  <w:style w:type="paragraph" w:styleId="BalloonText">
    <w:name w:val="Balloon Text"/>
    <w:basedOn w:val="Normal"/>
    <w:link w:val="BalloonTextChar"/>
    <w:rsid w:val="0003149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149C"/>
    <w:rPr>
      <w:rFonts w:ascii="Lucida Grande" w:hAnsi="Lucida Grande" w:cs="Lucida Grande"/>
      <w:sz w:val="18"/>
      <w:szCs w:val="18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4F4979"/>
    <w:pPr>
      <w:numPr>
        <w:ilvl w:val="1"/>
      </w:numPr>
    </w:pPr>
    <w:rPr>
      <w:rFonts w:asciiTheme="majorHAnsi" w:eastAsiaTheme="majorEastAsia" w:hAnsiTheme="majorHAnsi" w:cstheme="majorBidi"/>
      <w:i/>
      <w:iCs/>
      <w:color w:val="479B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F4979"/>
    <w:rPr>
      <w:rFonts w:asciiTheme="majorHAnsi" w:eastAsiaTheme="majorEastAsia" w:hAnsiTheme="majorHAnsi" w:cstheme="majorBidi"/>
      <w:i/>
      <w:iCs/>
      <w:color w:val="479BC4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4F4979"/>
    <w:pPr>
      <w:pBdr>
        <w:bottom w:val="single" w:sz="8" w:space="4" w:color="4F81BD" w:themeColor="accent1"/>
      </w:pBdr>
      <w:spacing w:after="300"/>
      <w:contextualSpacing/>
    </w:pPr>
    <w:rPr>
      <w:rFonts w:ascii="Verdana Bold" w:eastAsiaTheme="majorEastAsia" w:hAnsi="Verdana Bold" w:cstheme="majorBidi"/>
      <w:b/>
      <w:bCs/>
      <w:color w:val="4C8AB7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F4979"/>
    <w:rPr>
      <w:rFonts w:ascii="Verdana Bold" w:eastAsiaTheme="majorEastAsia" w:hAnsi="Verdana Bold" w:cstheme="majorBidi"/>
      <w:b/>
      <w:bCs/>
      <w:color w:val="4C8AB7"/>
      <w:spacing w:val="5"/>
      <w:kern w:val="28"/>
      <w:sz w:val="52"/>
      <w:szCs w:val="5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D34DA"/>
    <w:rPr>
      <w:rFonts w:ascii="Verdana" w:hAnsi="Verdana"/>
      <w:b/>
      <w:color w:val="333399"/>
      <w:w w:val="80"/>
      <w:sz w:val="40"/>
      <w:szCs w:val="36"/>
      <w:lang w:val="en-US" w:eastAsia="en-US"/>
    </w:rPr>
  </w:style>
  <w:style w:type="paragraph" w:styleId="ListParagraph">
    <w:name w:val="List Paragraph"/>
    <w:basedOn w:val="Normal"/>
    <w:uiPriority w:val="34"/>
    <w:qFormat/>
    <w:rsid w:val="001D7BC4"/>
    <w:pPr>
      <w:ind w:left="720"/>
      <w:contextualSpacing/>
    </w:pPr>
  </w:style>
  <w:style w:type="character" w:styleId="PageNumber">
    <w:name w:val="page number"/>
    <w:basedOn w:val="DefaultParagraphFont"/>
    <w:rsid w:val="00674B34"/>
  </w:style>
  <w:style w:type="table" w:customStyle="1" w:styleId="TableGrid2">
    <w:name w:val="Table Grid2"/>
    <w:basedOn w:val="TableNormal"/>
    <w:next w:val="TableGrid"/>
    <w:uiPriority w:val="59"/>
    <w:rsid w:val="0010330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03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333399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D17C-5DAB-4CF5-8901-DA3675FA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1431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Concentra Financial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Chris Anderson</dc:creator>
  <cp:lastModifiedBy>Jenn Lutze</cp:lastModifiedBy>
  <cp:revision>2</cp:revision>
  <cp:lastPrinted>2017-07-27T18:51:00Z</cp:lastPrinted>
  <dcterms:created xsi:type="dcterms:W3CDTF">2023-03-01T17:41:00Z</dcterms:created>
  <dcterms:modified xsi:type="dcterms:W3CDTF">2023-03-01T17:41:00Z</dcterms:modified>
</cp:coreProperties>
</file>